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宅基地使用权及建筑物、构筑物所有权登记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（转移登记）申请材料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宅基地使用权及房屋所有权转移的材料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adjustRightInd w:val="0"/>
        <w:snapToGrid w:val="0"/>
        <w:spacing w:line="400" w:lineRule="atLeast"/>
        <w:jc w:val="center"/>
        <w:rPr>
          <w:b/>
          <w:bCs/>
          <w:color w:val="FF0000"/>
          <w:sz w:val="28"/>
          <w:szCs w:val="28"/>
          <w:u w:val="single"/>
        </w:rPr>
      </w:pPr>
    </w:p>
    <w:p>
      <w:pPr>
        <w:adjustRightInd w:val="0"/>
        <w:snapToGrid w:val="0"/>
        <w:spacing w:line="400" w:lineRule="atLeast"/>
        <w:jc w:val="center"/>
        <w:rPr>
          <w:rFonts w:ascii="宋体" w:hAnsi="宋体" w:cs="宋体"/>
          <w:b/>
          <w:bCs/>
          <w:spacing w:val="-3"/>
          <w:sz w:val="28"/>
          <w:szCs w:val="28"/>
        </w:rPr>
      </w:pPr>
      <w:r>
        <w:rPr>
          <w:rFonts w:hint="eastAsia"/>
          <w:b/>
          <w:bCs/>
          <w:sz w:val="28"/>
          <w:szCs w:val="28"/>
        </w:rPr>
        <w:t>宅基地使用权及建筑物、构筑物所有权登记（转移登记）申请材料</w:t>
      </w:r>
      <w:r>
        <w:rPr>
          <w:rFonts w:ascii="宋体" w:hAnsi="宋体" w:cs="宋体"/>
          <w:b/>
          <w:bCs/>
          <w:spacing w:val="-3"/>
          <w:sz w:val="28"/>
          <w:szCs w:val="28"/>
        </w:rPr>
        <w:t>明细</w:t>
      </w:r>
    </w:p>
    <w:p>
      <w:pPr>
        <w:pStyle w:val="2"/>
      </w:pPr>
    </w:p>
    <w:tbl>
      <w:tblPr>
        <w:tblStyle w:val="5"/>
        <w:tblW w:w="8893" w:type="dxa"/>
        <w:tblInd w:w="2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148"/>
        <w:gridCol w:w="712"/>
        <w:gridCol w:w="3638"/>
        <w:gridCol w:w="1100"/>
        <w:gridCol w:w="17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570" w:type="dxa"/>
            <w:vAlign w:val="center"/>
          </w:tcPr>
          <w:p>
            <w:pPr>
              <w:tabs>
                <w:tab w:val="left" w:pos="210"/>
              </w:tabs>
              <w:autoSpaceDE w:val="0"/>
              <w:autoSpaceDN w:val="0"/>
              <w:adjustRightInd w:val="0"/>
              <w:snapToGrid w:val="0"/>
              <w:ind w:left="-107" w:leftChars="-51"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14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5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0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570" w:type="dxa"/>
            <w:vAlign w:val="center"/>
          </w:tcPr>
          <w:p>
            <w:pPr>
              <w:pStyle w:val="8"/>
              <w:spacing w:before="109"/>
              <w:ind w:left="-107" w:leftChars="-51"/>
              <w:jc w:val="center"/>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rPr>
              <w:t>1</w:t>
            </w:r>
            <w:bookmarkStart w:id="0" w:name="_GoBack"/>
            <w:bookmarkEnd w:id="0"/>
          </w:p>
        </w:tc>
        <w:tc>
          <w:tcPr>
            <w:tcW w:w="1148" w:type="dxa"/>
            <w:vAlign w:val="center"/>
          </w:tcPr>
          <w:p>
            <w:pPr>
              <w:pStyle w:val="8"/>
              <w:spacing w:before="109"/>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350" w:type="dxa"/>
            <w:gridSpan w:val="2"/>
            <w:vAlign w:val="center"/>
          </w:tcPr>
          <w:p>
            <w:pPr>
              <w:pStyle w:val="8"/>
              <w:spacing w:before="109"/>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100" w:type="dxa"/>
            <w:vAlign w:val="center"/>
          </w:tcPr>
          <w:p>
            <w:pPr>
              <w:pStyle w:val="8"/>
              <w:spacing w:before="109"/>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Align w:val="center"/>
          </w:tcPr>
          <w:p>
            <w:pPr>
              <w:pStyle w:val="8"/>
              <w:jc w:val="both"/>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vMerge w:val="restart"/>
            <w:vAlign w:val="center"/>
          </w:tcPr>
          <w:p>
            <w:pPr>
              <w:pStyle w:val="8"/>
              <w:ind w:left="-107" w:leftChars="-51"/>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val="en-US" w:eastAsia="zh-CN"/>
              </w:rPr>
              <w:t>2</w:t>
            </w:r>
          </w:p>
        </w:tc>
        <w:tc>
          <w:tcPr>
            <w:tcW w:w="1148" w:type="dxa"/>
            <w:vMerge w:val="restart"/>
            <w:vAlign w:val="center"/>
          </w:tcPr>
          <w:p>
            <w:pPr>
              <w:pStyle w:val="8"/>
              <w:spacing w:before="210"/>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4350" w:type="dxa"/>
            <w:gridSpan w:val="2"/>
            <w:vAlign w:val="center"/>
          </w:tcPr>
          <w:p>
            <w:pPr>
              <w:pStyle w:val="8"/>
              <w:spacing w:before="14" w:line="310" w:lineRule="atLeast"/>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居民身份证和户口簿；身份证遗失的，提交临时身份证。</w:t>
            </w:r>
          </w:p>
        </w:tc>
        <w:tc>
          <w:tcPr>
            <w:tcW w:w="1100" w:type="dxa"/>
            <w:vAlign w:val="center"/>
          </w:tcPr>
          <w:p>
            <w:pPr>
              <w:pStyle w:val="8"/>
              <w:spacing w:before="173"/>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Align w:val="center"/>
          </w:tcPr>
          <w:p>
            <w:pPr>
              <w:pStyle w:val="8"/>
              <w:spacing w:before="45"/>
              <w:ind w:left="1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5" w:line="310" w:lineRule="atLeast"/>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香港、澳门特别行政区自然人的提交香港、澳门特别行政区居民身份证、护照，或者来往内地通行证。</w:t>
            </w:r>
          </w:p>
        </w:tc>
        <w:tc>
          <w:tcPr>
            <w:tcW w:w="1100" w:type="dxa"/>
            <w:vAlign w:val="center"/>
          </w:tcPr>
          <w:p>
            <w:pPr>
              <w:pStyle w:val="8"/>
              <w:spacing w:before="9"/>
              <w:jc w:val="both"/>
              <w:rPr>
                <w:rFonts w:hint="eastAsia" w:ascii="华文仿宋" w:hAnsi="华文仿宋" w:eastAsia="华文仿宋" w:cs="华文仿宋"/>
                <w:sz w:val="21"/>
                <w:szCs w:val="21"/>
                <w:lang w:eastAsia="zh-CN"/>
              </w:rPr>
            </w:pPr>
          </w:p>
          <w:p>
            <w:pPr>
              <w:pStyle w:val="8"/>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restart"/>
            <w:vAlign w:val="center"/>
          </w:tcPr>
          <w:p>
            <w:pPr>
              <w:pStyle w:val="8"/>
              <w:spacing w:line="292" w:lineRule="auto"/>
              <w:ind w:left="13" w:right="170"/>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属于合法继承人的提交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21" w:line="242" w:lineRule="auto"/>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台湾地区自然人的提交台湾居民来往大陆通行证。</w:t>
            </w:r>
          </w:p>
        </w:tc>
        <w:tc>
          <w:tcPr>
            <w:tcW w:w="1100" w:type="dxa"/>
            <w:vAlign w:val="center"/>
          </w:tcPr>
          <w:p>
            <w:pPr>
              <w:pStyle w:val="8"/>
              <w:spacing w:before="177"/>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5" w:line="310" w:lineRule="atLeast"/>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华侨的提交中华人民共和国护照和国外长期居留身份证件。</w:t>
            </w:r>
          </w:p>
        </w:tc>
        <w:tc>
          <w:tcPr>
            <w:tcW w:w="1100" w:type="dxa"/>
            <w:vAlign w:val="center"/>
          </w:tcPr>
          <w:p>
            <w:pPr>
              <w:pStyle w:val="8"/>
              <w:spacing w:before="173"/>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28" w:line="242" w:lineRule="auto"/>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外籍自然人的提交中国政府主管机关签发的居留证件，或者其所在国护照（汉字译本）。</w:t>
            </w:r>
          </w:p>
        </w:tc>
        <w:tc>
          <w:tcPr>
            <w:tcW w:w="1100" w:type="dxa"/>
            <w:vAlign w:val="center"/>
          </w:tcPr>
          <w:p>
            <w:pPr>
              <w:pStyle w:val="8"/>
              <w:spacing w:before="184"/>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23"/>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属于现役军人的提交军官证、士官证等。</w:t>
            </w:r>
          </w:p>
        </w:tc>
        <w:tc>
          <w:tcPr>
            <w:tcW w:w="1100" w:type="dxa"/>
            <w:vAlign w:val="center"/>
          </w:tcPr>
          <w:p>
            <w:pPr>
              <w:pStyle w:val="8"/>
              <w:spacing w:before="123"/>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4"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712" w:type="dxa"/>
            <w:vMerge w:val="restart"/>
            <w:vAlign w:val="center"/>
          </w:tcPr>
          <w:p>
            <w:pPr>
              <w:pStyle w:val="8"/>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3638" w:type="dxa"/>
            <w:vAlign w:val="center"/>
          </w:tcPr>
          <w:p>
            <w:pPr>
              <w:pStyle w:val="8"/>
              <w:spacing w:before="16" w:line="310" w:lineRule="atLeast"/>
              <w:ind w:left="13" w:right="82"/>
              <w:jc w:val="both"/>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自然人委托的，提供经公证的委托书； 委托书未经公证的，申请人应当与代理人共同到登记机构签署委托书，并经登</w:t>
            </w:r>
            <w:r>
              <w:rPr>
                <w:rFonts w:hint="eastAsia" w:ascii="华文仿宋" w:hAnsi="华文仿宋" w:eastAsia="华文仿宋" w:cs="华文仿宋"/>
                <w:spacing w:val="-10"/>
                <w:sz w:val="21"/>
                <w:szCs w:val="21"/>
                <w:lang w:eastAsia="zh-CN"/>
              </w:rPr>
              <w:t>记机构见证。</w:t>
            </w:r>
          </w:p>
        </w:tc>
        <w:tc>
          <w:tcPr>
            <w:tcW w:w="1100" w:type="dxa"/>
            <w:vAlign w:val="center"/>
          </w:tcPr>
          <w:p>
            <w:pPr>
              <w:pStyle w:val="8"/>
              <w:spacing w:before="179"/>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restart"/>
            <w:vAlign w:val="center"/>
          </w:tcPr>
          <w:p>
            <w:pPr>
              <w:pStyle w:val="8"/>
              <w:spacing w:line="292" w:lineRule="auto"/>
              <w:ind w:left="13" w:right="170"/>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712" w:type="dxa"/>
            <w:vMerge w:val="continue"/>
            <w:tcBorders>
              <w:top w:val="nil"/>
            </w:tcBorders>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51" w:line="242" w:lineRule="auto"/>
              <w:ind w:left="13" w:right="2"/>
              <w:jc w:val="both"/>
              <w:rPr>
                <w:rFonts w:hint="eastAsia" w:ascii="华文仿宋" w:hAnsi="华文仿宋" w:eastAsia="华文仿宋" w:cs="华文仿宋"/>
                <w:sz w:val="21"/>
                <w:szCs w:val="21"/>
                <w:lang w:eastAsia="zh-CN"/>
              </w:rPr>
            </w:pPr>
            <w:r>
              <w:rPr>
                <w:rFonts w:hint="eastAsia" w:ascii="华文仿宋" w:hAnsi="华文仿宋" w:eastAsia="华文仿宋" w:cs="华文仿宋"/>
                <w:spacing w:val="-11"/>
                <w:sz w:val="21"/>
                <w:szCs w:val="21"/>
                <w:lang w:eastAsia="zh-CN"/>
              </w:rPr>
              <w:t>境外申请人委托的，提供经公证或认证的委托书。</w:t>
            </w:r>
          </w:p>
        </w:tc>
        <w:tc>
          <w:tcPr>
            <w:tcW w:w="1100" w:type="dxa"/>
            <w:vAlign w:val="center"/>
          </w:tcPr>
          <w:p>
            <w:pPr>
              <w:pStyle w:val="8"/>
              <w:spacing w:before="207"/>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570" w:type="dxa"/>
            <w:vMerge w:val="continue"/>
            <w:tcBorders>
              <w:top w:val="nil"/>
            </w:tcBorders>
            <w:vAlign w:val="center"/>
          </w:tcPr>
          <w:p>
            <w:pPr>
              <w:ind w:left="-107" w:leftChars="-51"/>
              <w:jc w:val="center"/>
              <w:rPr>
                <w:rFonts w:hint="eastAsia" w:ascii="华文仿宋" w:hAnsi="华文仿宋" w:eastAsia="华文仿宋" w:cs="华文仿宋"/>
                <w:sz w:val="21"/>
                <w:szCs w:val="21"/>
              </w:rPr>
            </w:pPr>
          </w:p>
        </w:tc>
        <w:tc>
          <w:tcPr>
            <w:tcW w:w="1148" w:type="dxa"/>
            <w:vMerge w:val="continue"/>
            <w:tcBorders>
              <w:top w:val="nil"/>
            </w:tcBorders>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64"/>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100" w:type="dxa"/>
            <w:vAlign w:val="center"/>
          </w:tcPr>
          <w:p>
            <w:pPr>
              <w:pStyle w:val="8"/>
              <w:spacing w:before="164"/>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25" w:type="dxa"/>
            <w:vMerge w:val="continue"/>
            <w:tcBorders>
              <w:top w:val="nil"/>
            </w:tcBorders>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570" w:type="dxa"/>
            <w:vAlign w:val="center"/>
          </w:tcPr>
          <w:p>
            <w:pPr>
              <w:pStyle w:val="8"/>
              <w:ind w:left="-107" w:leftChars="-51"/>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148" w:type="dxa"/>
            <w:vAlign w:val="center"/>
          </w:tcPr>
          <w:p>
            <w:pPr>
              <w:adjustRightInd w:val="0"/>
              <w:snapToGrid w:val="0"/>
              <w:spacing w:line="400" w:lineRule="atLeast"/>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不动产权证书</w:t>
            </w:r>
          </w:p>
        </w:tc>
        <w:tc>
          <w:tcPr>
            <w:tcW w:w="4350" w:type="dxa"/>
            <w:gridSpan w:val="2"/>
            <w:vAlign w:val="center"/>
          </w:tcPr>
          <w:p>
            <w:pPr>
              <w:pStyle w:val="8"/>
              <w:spacing w:before="16" w:line="310" w:lineRule="atLeast"/>
              <w:ind w:left="14" w:right="26"/>
              <w:jc w:val="both"/>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《不动产权证书》或《集体土地使用证》、《房屋所有权证》或《房地产权证》，共有的房屋还</w:t>
            </w:r>
            <w:r>
              <w:rPr>
                <w:rFonts w:hint="eastAsia" w:ascii="华文仿宋" w:hAnsi="华文仿宋" w:eastAsia="华文仿宋" w:cs="华文仿宋"/>
                <w:spacing w:val="-11"/>
                <w:sz w:val="21"/>
                <w:szCs w:val="21"/>
                <w:lang w:eastAsia="zh-CN"/>
              </w:rPr>
              <w:t>应提交其他共有证等。</w:t>
            </w:r>
          </w:p>
        </w:tc>
        <w:tc>
          <w:tcPr>
            <w:tcW w:w="1100" w:type="dxa"/>
            <w:vAlign w:val="center"/>
          </w:tcPr>
          <w:p>
            <w:pPr>
              <w:pStyle w:val="8"/>
              <w:spacing w:before="10"/>
              <w:jc w:val="both"/>
              <w:rPr>
                <w:rFonts w:hint="eastAsia" w:ascii="华文仿宋" w:hAnsi="华文仿宋" w:eastAsia="华文仿宋" w:cs="华文仿宋"/>
                <w:sz w:val="21"/>
                <w:szCs w:val="21"/>
                <w:lang w:eastAsia="zh-CN"/>
              </w:rPr>
            </w:pPr>
          </w:p>
          <w:p>
            <w:pPr>
              <w:pStyle w:val="8"/>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Align w:val="center"/>
          </w:tcPr>
          <w:p>
            <w:pPr>
              <w:pStyle w:val="8"/>
              <w:jc w:val="both"/>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570" w:type="dxa"/>
            <w:vMerge w:val="restart"/>
            <w:vAlign w:val="center"/>
          </w:tcPr>
          <w:p>
            <w:pPr>
              <w:pStyle w:val="8"/>
              <w:ind w:left="-107" w:leftChars="-51"/>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148" w:type="dxa"/>
            <w:vMerge w:val="restart"/>
            <w:vAlign w:val="center"/>
          </w:tcPr>
          <w:p>
            <w:pPr>
              <w:pStyle w:val="8"/>
              <w:jc w:val="both"/>
              <w:rPr>
                <w:rFonts w:hint="eastAsia" w:ascii="华文仿宋" w:hAnsi="华文仿宋" w:eastAsia="华文仿宋" w:cs="华文仿宋"/>
                <w:sz w:val="21"/>
                <w:szCs w:val="21"/>
                <w:lang w:eastAsia="zh-CN"/>
              </w:rPr>
            </w:pPr>
          </w:p>
          <w:p>
            <w:pPr>
              <w:pStyle w:val="8"/>
              <w:jc w:val="both"/>
              <w:rPr>
                <w:rFonts w:hint="eastAsia" w:ascii="华文仿宋" w:hAnsi="华文仿宋" w:eastAsia="华文仿宋" w:cs="华文仿宋"/>
                <w:sz w:val="21"/>
                <w:szCs w:val="21"/>
                <w:lang w:eastAsia="zh-CN"/>
              </w:rPr>
            </w:pPr>
          </w:p>
          <w:p>
            <w:pPr>
              <w:pStyle w:val="8"/>
              <w:jc w:val="both"/>
              <w:rPr>
                <w:rFonts w:hint="eastAsia" w:ascii="华文仿宋" w:hAnsi="华文仿宋" w:eastAsia="华文仿宋" w:cs="华文仿宋"/>
                <w:sz w:val="21"/>
                <w:szCs w:val="21"/>
                <w:lang w:eastAsia="zh-CN"/>
              </w:rPr>
            </w:pPr>
          </w:p>
          <w:p>
            <w:pPr>
              <w:pStyle w:val="8"/>
              <w:jc w:val="both"/>
              <w:rPr>
                <w:rFonts w:hint="eastAsia" w:ascii="华文仿宋" w:hAnsi="华文仿宋" w:eastAsia="华文仿宋" w:cs="华文仿宋"/>
                <w:sz w:val="21"/>
                <w:szCs w:val="21"/>
                <w:lang w:eastAsia="zh-CN"/>
              </w:rPr>
            </w:pPr>
          </w:p>
          <w:p>
            <w:pPr>
              <w:pStyle w:val="8"/>
              <w:jc w:val="both"/>
              <w:rPr>
                <w:rFonts w:hint="eastAsia" w:ascii="华文仿宋" w:hAnsi="华文仿宋" w:eastAsia="华文仿宋" w:cs="华文仿宋"/>
                <w:sz w:val="21"/>
                <w:szCs w:val="21"/>
                <w:lang w:eastAsia="zh-CN"/>
              </w:rPr>
            </w:pPr>
          </w:p>
          <w:p>
            <w:pPr>
              <w:pStyle w:val="8"/>
              <w:spacing w:before="7"/>
              <w:jc w:val="both"/>
              <w:rPr>
                <w:rFonts w:hint="eastAsia" w:ascii="华文仿宋" w:hAnsi="华文仿宋" w:eastAsia="华文仿宋" w:cs="华文仿宋"/>
                <w:sz w:val="21"/>
                <w:szCs w:val="21"/>
                <w:lang w:eastAsia="zh-CN"/>
              </w:rPr>
            </w:pPr>
          </w:p>
          <w:p>
            <w:pPr>
              <w:pStyle w:val="8"/>
              <w:spacing w:line="242" w:lineRule="auto"/>
              <w:ind w:left="15" w:right="9"/>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宅基地使用权及房屋所有权转移的材料</w:t>
            </w:r>
          </w:p>
        </w:tc>
        <w:tc>
          <w:tcPr>
            <w:tcW w:w="4350" w:type="dxa"/>
            <w:gridSpan w:val="2"/>
            <w:vAlign w:val="center"/>
          </w:tcPr>
          <w:p>
            <w:pPr>
              <w:pStyle w:val="8"/>
              <w:spacing w:before="127"/>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经公证的继承材料或生效的法律文书。</w:t>
            </w:r>
          </w:p>
        </w:tc>
        <w:tc>
          <w:tcPr>
            <w:tcW w:w="1100" w:type="dxa"/>
            <w:vAlign w:val="center"/>
          </w:tcPr>
          <w:p>
            <w:pPr>
              <w:pStyle w:val="8"/>
              <w:spacing w:before="127"/>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restart"/>
            <w:vAlign w:val="center"/>
          </w:tcPr>
          <w:p>
            <w:pPr>
              <w:pStyle w:val="8"/>
              <w:spacing w:line="292" w:lineRule="auto"/>
              <w:ind w:left="13" w:right="5"/>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依法继承的需提交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0"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restart"/>
            <w:vAlign w:val="center"/>
          </w:tcPr>
          <w:p>
            <w:pPr>
              <w:pStyle w:val="8"/>
              <w:jc w:val="both"/>
              <w:rPr>
                <w:rFonts w:hint="eastAsia" w:ascii="华文仿宋" w:hAnsi="华文仿宋" w:eastAsia="华文仿宋" w:cs="华文仿宋"/>
                <w:sz w:val="21"/>
                <w:szCs w:val="21"/>
                <w:lang w:eastAsia="zh-CN"/>
              </w:rPr>
            </w:pPr>
          </w:p>
          <w:p>
            <w:pPr>
              <w:pStyle w:val="8"/>
              <w:spacing w:before="4"/>
              <w:jc w:val="both"/>
              <w:rPr>
                <w:rFonts w:hint="eastAsia" w:ascii="华文仿宋" w:hAnsi="华文仿宋" w:eastAsia="华文仿宋" w:cs="华文仿宋"/>
                <w:sz w:val="21"/>
                <w:szCs w:val="21"/>
                <w:lang w:eastAsia="zh-CN"/>
              </w:rPr>
            </w:pPr>
          </w:p>
          <w:p>
            <w:pPr>
              <w:pStyle w:val="8"/>
              <w:spacing w:line="242" w:lineRule="auto"/>
              <w:ind w:left="14" w:right="3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未提供经公证的继承材料或生效的法律文书的应提供的材料</w:t>
            </w:r>
          </w:p>
        </w:tc>
        <w:tc>
          <w:tcPr>
            <w:tcW w:w="3638" w:type="dxa"/>
            <w:vAlign w:val="center"/>
          </w:tcPr>
          <w:p>
            <w:pPr>
              <w:bidi w:val="0"/>
              <w:jc w:val="both"/>
              <w:rPr>
                <w:rFonts w:hint="eastAsia" w:ascii="华文仿宋" w:hAnsi="华文仿宋" w:eastAsia="华文仿宋" w:cs="华文仿宋"/>
                <w:szCs w:val="21"/>
                <w:lang w:eastAsia="zh-CN"/>
              </w:rPr>
            </w:pPr>
            <w:r>
              <w:rPr>
                <w:rFonts w:hint="eastAsia" w:ascii="华文仿宋" w:hAnsi="华文仿宋" w:eastAsia="华文仿宋" w:cs="华文仿宋"/>
                <w:lang w:eastAsia="zh-CN"/>
              </w:rPr>
              <w:t>被继承人的死亡证明，包括医疗机构出具的死亡证明；公安机关出具的死亡证明或者注明了死亡日期的注销户口证明；人民法院宣告死亡的判决书；其他能够证明被继承人或受遗赠人死亡的材料等。</w:t>
            </w:r>
          </w:p>
        </w:tc>
        <w:tc>
          <w:tcPr>
            <w:tcW w:w="1100" w:type="dxa"/>
            <w:vAlign w:val="center"/>
          </w:tcPr>
          <w:p>
            <w:pPr>
              <w:pStyle w:val="8"/>
              <w:jc w:val="both"/>
              <w:rPr>
                <w:rFonts w:hint="eastAsia" w:ascii="华文仿宋" w:hAnsi="华文仿宋" w:eastAsia="华文仿宋" w:cs="华文仿宋"/>
                <w:sz w:val="21"/>
                <w:szCs w:val="21"/>
                <w:lang w:eastAsia="zh-CN"/>
              </w:rPr>
            </w:pPr>
          </w:p>
          <w:p>
            <w:pPr>
              <w:pStyle w:val="8"/>
              <w:spacing w:before="1"/>
              <w:jc w:val="both"/>
              <w:rPr>
                <w:rFonts w:hint="eastAsia" w:ascii="华文仿宋" w:hAnsi="华文仿宋" w:eastAsia="华文仿宋" w:cs="华文仿宋"/>
                <w:sz w:val="21"/>
                <w:szCs w:val="21"/>
                <w:lang w:eastAsia="zh-CN"/>
              </w:rPr>
            </w:pPr>
          </w:p>
          <w:p>
            <w:pPr>
              <w:pStyle w:val="8"/>
              <w:spacing w:before="1"/>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17" w:line="242" w:lineRule="auto"/>
              <w:ind w:left="13" w:right="1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所有继承人与被继承人之间的亲属关系证明，包括户口簿、婚姻证明、收养证明、出生医学证明，公安机关以及村委会、居委会、被继承人或继承人单位出具的证明材料，其他能够证明相关亲属关系的材料等。</w:t>
            </w:r>
          </w:p>
        </w:tc>
        <w:tc>
          <w:tcPr>
            <w:tcW w:w="1100" w:type="dxa"/>
            <w:vAlign w:val="center"/>
          </w:tcPr>
          <w:p>
            <w:pPr>
              <w:pStyle w:val="8"/>
              <w:jc w:val="both"/>
              <w:rPr>
                <w:rFonts w:hint="eastAsia" w:ascii="华文仿宋" w:hAnsi="华文仿宋" w:eastAsia="华文仿宋" w:cs="华文仿宋"/>
                <w:sz w:val="21"/>
                <w:szCs w:val="21"/>
                <w:lang w:eastAsia="zh-CN"/>
              </w:rPr>
            </w:pPr>
          </w:p>
          <w:p>
            <w:pPr>
              <w:pStyle w:val="8"/>
              <w:jc w:val="both"/>
              <w:rPr>
                <w:rFonts w:hint="eastAsia" w:ascii="华文仿宋" w:hAnsi="华文仿宋" w:eastAsia="华文仿宋" w:cs="华文仿宋"/>
                <w:sz w:val="21"/>
                <w:szCs w:val="21"/>
                <w:lang w:eastAsia="zh-CN"/>
              </w:rPr>
            </w:pPr>
          </w:p>
          <w:p>
            <w:pPr>
              <w:pStyle w:val="8"/>
              <w:spacing w:before="182"/>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58" w:line="242" w:lineRule="auto"/>
              <w:ind w:left="13" w:right="1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放弃继承的，应当在不动产登记机构办公场所，在不动产登记机构人员的见证下签署放弃继承权的声明。</w:t>
            </w:r>
          </w:p>
        </w:tc>
        <w:tc>
          <w:tcPr>
            <w:tcW w:w="1100" w:type="dxa"/>
            <w:vAlign w:val="center"/>
          </w:tcPr>
          <w:p>
            <w:pPr>
              <w:pStyle w:val="8"/>
              <w:spacing w:before="214"/>
              <w:ind w:left="81" w:right="7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130"/>
              <w:ind w:left="13"/>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被继承人享有不动产权利的材料。</w:t>
            </w:r>
          </w:p>
        </w:tc>
        <w:tc>
          <w:tcPr>
            <w:tcW w:w="1100" w:type="dxa"/>
            <w:vAlign w:val="center"/>
          </w:tcPr>
          <w:p>
            <w:pPr>
              <w:pStyle w:val="8"/>
              <w:spacing w:before="13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bidi w:val="0"/>
              <w:jc w:val="both"/>
              <w:rPr>
                <w:rFonts w:hint="eastAsia" w:ascii="华文仿宋" w:hAnsi="华文仿宋" w:eastAsia="华文仿宋" w:cs="华文仿宋"/>
                <w:szCs w:val="21"/>
                <w:lang w:eastAsia="zh-CN"/>
              </w:rPr>
            </w:pPr>
            <w:r>
              <w:rPr>
                <w:rFonts w:hint="eastAsia" w:ascii="华文仿宋" w:hAnsi="华文仿宋" w:eastAsia="华文仿宋" w:cs="华文仿宋"/>
                <w:lang w:eastAsia="zh-CN"/>
              </w:rPr>
              <w:t>被继承人生前有遗嘱或者遗赠扶养协议的，提交其全部遗嘱或者 遗赠扶养协议。</w:t>
            </w:r>
          </w:p>
        </w:tc>
        <w:tc>
          <w:tcPr>
            <w:tcW w:w="1100" w:type="dxa"/>
            <w:vAlign w:val="center"/>
          </w:tcPr>
          <w:p>
            <w:pPr>
              <w:pStyle w:val="8"/>
              <w:tabs>
                <w:tab w:val="left" w:pos="342"/>
              </w:tabs>
              <w:spacing w:before="176" w:line="230" w:lineRule="auto"/>
              <w:ind w:left="-155"/>
              <w:jc w:val="both"/>
              <w:rPr>
                <w:rFonts w:hint="eastAsia" w:ascii="华文仿宋" w:hAnsi="华文仿宋" w:eastAsia="华文仿宋" w:cs="华文仿宋"/>
                <w:sz w:val="21"/>
                <w:szCs w:val="21"/>
              </w:rPr>
            </w:pPr>
            <w:r>
              <w:rPr>
                <w:rFonts w:hint="eastAsia" w:ascii="华文仿宋" w:hAnsi="华文仿宋" w:eastAsia="华文仿宋" w:cs="华文仿宋"/>
                <w:position w:val="-15"/>
                <w:sz w:val="21"/>
                <w:szCs w:val="21"/>
              </w:rPr>
              <w:t>。</w:t>
            </w: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16" w:line="310" w:lineRule="atLeast"/>
              <w:ind w:left="13" w:right="25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被继承人生前与配偶有夫妻财产约定的，提交书面约定协议。</w:t>
            </w:r>
          </w:p>
        </w:tc>
        <w:tc>
          <w:tcPr>
            <w:tcW w:w="1100" w:type="dxa"/>
            <w:vAlign w:val="center"/>
          </w:tcPr>
          <w:p>
            <w:pPr>
              <w:pStyle w:val="8"/>
              <w:spacing w:before="17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712" w:type="dxa"/>
            <w:vMerge w:val="continue"/>
            <w:vAlign w:val="center"/>
          </w:tcPr>
          <w:p>
            <w:pPr>
              <w:jc w:val="both"/>
              <w:rPr>
                <w:rFonts w:hint="eastAsia" w:ascii="华文仿宋" w:hAnsi="华文仿宋" w:eastAsia="华文仿宋" w:cs="华文仿宋"/>
                <w:sz w:val="21"/>
                <w:szCs w:val="21"/>
              </w:rPr>
            </w:pPr>
          </w:p>
        </w:tc>
        <w:tc>
          <w:tcPr>
            <w:tcW w:w="3638" w:type="dxa"/>
            <w:vAlign w:val="center"/>
          </w:tcPr>
          <w:p>
            <w:pPr>
              <w:pStyle w:val="8"/>
              <w:spacing w:before="14" w:line="310" w:lineRule="atLeast"/>
              <w:ind w:left="13" w:right="1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继承人已死亡的，代位继承人或转继承人可参照上述材料提供。</w:t>
            </w:r>
          </w:p>
        </w:tc>
        <w:tc>
          <w:tcPr>
            <w:tcW w:w="1100" w:type="dxa"/>
            <w:vAlign w:val="center"/>
          </w:tcPr>
          <w:p>
            <w:pPr>
              <w:pStyle w:val="8"/>
              <w:spacing w:before="17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73"/>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分家析产的协议或材料。</w:t>
            </w:r>
          </w:p>
        </w:tc>
        <w:tc>
          <w:tcPr>
            <w:tcW w:w="1100" w:type="dxa"/>
            <w:vAlign w:val="center"/>
          </w:tcPr>
          <w:p>
            <w:pPr>
              <w:pStyle w:val="8"/>
              <w:spacing w:before="17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Align w:val="center"/>
          </w:tcPr>
          <w:p>
            <w:pPr>
              <w:pStyle w:val="8"/>
              <w:spacing w:before="43"/>
              <w:ind w:left="1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分家析产的需提交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29"/>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互换协议或房屋转让协议。</w:t>
            </w:r>
          </w:p>
        </w:tc>
        <w:tc>
          <w:tcPr>
            <w:tcW w:w="1100" w:type="dxa"/>
            <w:vAlign w:val="center"/>
          </w:tcPr>
          <w:p>
            <w:pPr>
              <w:pStyle w:val="8"/>
              <w:spacing w:before="129"/>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restart"/>
            <w:vAlign w:val="center"/>
          </w:tcPr>
          <w:p>
            <w:pPr>
              <w:pStyle w:val="8"/>
              <w:spacing w:before="44" w:line="292" w:lineRule="auto"/>
              <w:ind w:left="13" w:right="5"/>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经济经济组织内 部互换或转让房 屋的需提交</w:t>
            </w:r>
          </w:p>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200"/>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受让方为本集体经济组织成员、符合宅基地申请条件，并经集体经济组织同意的材料。（村居出具承让方符合一户一宅规定；买、卖双方承诺不再参加宅基地分配的材料。）</w:t>
            </w:r>
          </w:p>
        </w:tc>
        <w:tc>
          <w:tcPr>
            <w:tcW w:w="1100" w:type="dxa"/>
            <w:vAlign w:val="center"/>
          </w:tcPr>
          <w:p>
            <w:pPr>
              <w:pStyle w:val="8"/>
              <w:spacing w:before="2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213"/>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人民法院或者仲裁委员会生效的法律文书。</w:t>
            </w:r>
          </w:p>
        </w:tc>
        <w:tc>
          <w:tcPr>
            <w:tcW w:w="1100" w:type="dxa"/>
            <w:vAlign w:val="center"/>
          </w:tcPr>
          <w:p>
            <w:pPr>
              <w:pStyle w:val="8"/>
              <w:spacing w:before="2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restart"/>
            <w:vAlign w:val="center"/>
          </w:tcPr>
          <w:p>
            <w:pPr>
              <w:pStyle w:val="8"/>
              <w:spacing w:before="42" w:line="292" w:lineRule="auto"/>
              <w:ind w:left="13" w:right="-15"/>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因人民法院或仲裁委员会生效法律文书导致权属发生转</w:t>
            </w:r>
          </w:p>
          <w:p>
            <w:pPr>
              <w:pStyle w:val="8"/>
              <w:spacing w:line="254" w:lineRule="exact"/>
              <w:ind w:left="1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移的需提交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2"/>
              <w:jc w:val="both"/>
              <w:rPr>
                <w:rFonts w:hint="eastAsia" w:ascii="华文仿宋" w:hAnsi="华文仿宋" w:eastAsia="华文仿宋" w:cs="华文仿宋"/>
                <w:sz w:val="21"/>
                <w:szCs w:val="21"/>
              </w:rPr>
            </w:pPr>
          </w:p>
          <w:p>
            <w:pPr>
              <w:pStyle w:val="8"/>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协助执行通知书。</w:t>
            </w:r>
          </w:p>
        </w:tc>
        <w:tc>
          <w:tcPr>
            <w:tcW w:w="1100"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570" w:type="dxa"/>
            <w:vMerge w:val="continue"/>
            <w:vAlign w:val="center"/>
          </w:tcPr>
          <w:p>
            <w:pPr>
              <w:ind w:left="-107" w:leftChars="-51"/>
              <w:jc w:val="center"/>
              <w:rPr>
                <w:rFonts w:hint="eastAsia" w:ascii="华文仿宋" w:hAnsi="华文仿宋" w:eastAsia="华文仿宋" w:cs="华文仿宋"/>
                <w:sz w:val="21"/>
                <w:szCs w:val="21"/>
              </w:rPr>
            </w:pPr>
          </w:p>
        </w:tc>
        <w:tc>
          <w:tcPr>
            <w:tcW w:w="1148" w:type="dxa"/>
            <w:vMerge w:val="continue"/>
            <w:vAlign w:val="center"/>
          </w:tcPr>
          <w:p>
            <w:pPr>
              <w:jc w:val="both"/>
              <w:rPr>
                <w:rFonts w:hint="eastAsia" w:ascii="华文仿宋" w:hAnsi="华文仿宋" w:eastAsia="华文仿宋" w:cs="华文仿宋"/>
                <w:sz w:val="21"/>
                <w:szCs w:val="21"/>
              </w:rPr>
            </w:pPr>
          </w:p>
        </w:tc>
        <w:tc>
          <w:tcPr>
            <w:tcW w:w="4350" w:type="dxa"/>
            <w:gridSpan w:val="2"/>
            <w:vAlign w:val="center"/>
          </w:tcPr>
          <w:p>
            <w:pPr>
              <w:pStyle w:val="8"/>
              <w:spacing w:before="15" w:line="310" w:lineRule="atLeast"/>
              <w:ind w:left="14" w:right="67"/>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按份共有人转让不动产的，受让人是共有人以外的人的，还应当提交其他共有人同意的书面材料。</w:t>
            </w:r>
            <w:r>
              <w:rPr>
                <w:rFonts w:hint="eastAsia" w:ascii="华文仿宋" w:hAnsi="华文仿宋" w:eastAsia="华文仿宋" w:cs="华文仿宋"/>
                <w:kern w:val="2"/>
                <w:sz w:val="21"/>
                <w:szCs w:val="21"/>
                <w:lang w:eastAsia="zh-CN"/>
              </w:rPr>
              <w:t>公安或地名等管理部门出具的房屋地址变更或命名的文件,或属地村居或经联社出具材料。</w:t>
            </w:r>
          </w:p>
        </w:tc>
        <w:tc>
          <w:tcPr>
            <w:tcW w:w="1100" w:type="dxa"/>
            <w:vAlign w:val="center"/>
          </w:tcPr>
          <w:p>
            <w:pPr>
              <w:pStyle w:val="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5" w:type="dxa"/>
            <w:vAlign w:val="center"/>
          </w:tcPr>
          <w:p>
            <w:pPr>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tabs>
          <w:tab w:val="left" w:pos="312"/>
        </w:tabs>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 xml:space="preserve">    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Yjc3YTZkNjU1NTY3NTQ2MjdjYmQ5NWZlMDYzZTQifQ=="/>
  </w:docVars>
  <w:rsids>
    <w:rsidRoot w:val="0075186C"/>
    <w:rsid w:val="0008134C"/>
    <w:rsid w:val="000C373E"/>
    <w:rsid w:val="00193D81"/>
    <w:rsid w:val="001A7B96"/>
    <w:rsid w:val="002A63DF"/>
    <w:rsid w:val="005E4B62"/>
    <w:rsid w:val="00682E88"/>
    <w:rsid w:val="0069158C"/>
    <w:rsid w:val="00694A87"/>
    <w:rsid w:val="0075186C"/>
    <w:rsid w:val="00757519"/>
    <w:rsid w:val="0083279A"/>
    <w:rsid w:val="0084334D"/>
    <w:rsid w:val="00994B13"/>
    <w:rsid w:val="009E1C35"/>
    <w:rsid w:val="00A30D72"/>
    <w:rsid w:val="00A7130E"/>
    <w:rsid w:val="00A80D66"/>
    <w:rsid w:val="00DC5727"/>
    <w:rsid w:val="00DD2BF0"/>
    <w:rsid w:val="00F57FE6"/>
    <w:rsid w:val="0FD5606D"/>
    <w:rsid w:val="4BF95323"/>
    <w:rsid w:val="4ED40086"/>
    <w:rsid w:val="574F6FB0"/>
    <w:rsid w:val="5D3F048D"/>
    <w:rsid w:val="65FF45A3"/>
    <w:rsid w:val="6C022DB1"/>
    <w:rsid w:val="7105198D"/>
    <w:rsid w:val="748F6002"/>
    <w:rsid w:val="B59D7547"/>
    <w:rsid w:val="BF7DC727"/>
    <w:rsid w:val="BF7F4D34"/>
    <w:rsid w:val="FBF739FA"/>
    <w:rsid w:val="FE6F7EB1"/>
    <w:rsid w:val="FEF2D2D1"/>
    <w:rsid w:val="FF93F9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251</Words>
  <Characters>1431</Characters>
  <Lines>11</Lines>
  <Paragraphs>3</Paragraphs>
  <TotalTime>9</TotalTime>
  <ScaleCrop>false</ScaleCrop>
  <LinksUpToDate>false</LinksUpToDate>
  <CharactersWithSpaces>1679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2023-05-25T07:25:00Z</dcterms:created>
  <dc:creator>Administrator</dc:creator>
  <cp:lastModifiedBy>user</cp:lastModifiedBy>
  <dcterms:modified xsi:type="dcterms:W3CDTF">2023-05-26T11:17:07Z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