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集体建设用地使用权登记（转移登记）申请材料</w:t>
      </w:r>
    </w:p>
    <w:p>
      <w:pPr>
        <w:adjustRightInd w:val="0"/>
        <w:snapToGrid w:val="0"/>
        <w:spacing w:line="400" w:lineRule="atLeast"/>
        <w:jc w:val="center"/>
        <w:rPr>
          <w:sz w:val="28"/>
          <w:szCs w:val="28"/>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因人民法院或者仲裁委员会生效法律文书导致权力消灭的，提交人民法院或仲裁委员会生效法律文书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因企业合并、分立、兼并、破产等情形导致权属发生转移的，提交企业合并、分立、兼并、破产的材料、建设用地使用权权属转移材料、有权部门的批准文件</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作价出资（入股）的，提交作价出资（入股）协议</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集体建设用地使用权转移的材料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本集体经济组织三分之二以上成员或者三分之二以上村民代表同意的材料</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并经街道办事处（镇政府）同意</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依法需要缴纳税费的，应当提交税费缴纳凭证</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b/>
          <w:bCs/>
          <w:spacing w:val="-3"/>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集体建设用地使用权登记（转移登记）申请材料明细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16"/>
        <w:gridCol w:w="675"/>
        <w:gridCol w:w="3438"/>
        <w:gridCol w:w="1012"/>
        <w:gridCol w:w="17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16"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113"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12"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1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716"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不动产登记申请书</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bookmarkStart w:id="0" w:name="_GoBack"/>
            <w:bookmarkEnd w:id="0"/>
            <w:r>
              <w:rPr>
                <w:rFonts w:hint="eastAsia" w:ascii="方正仿宋_GBK" w:hAnsi="方正仿宋_GBK" w:eastAsia="方正仿宋_GBK" w:cs="方正仿宋_GBK"/>
                <w:sz w:val="21"/>
                <w:szCs w:val="21"/>
                <w:lang w:eastAsia="en-US"/>
              </w:rPr>
              <w:t>2</w:t>
            </w:r>
          </w:p>
        </w:tc>
        <w:tc>
          <w:tcPr>
            <w:tcW w:w="1716"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营业执照或者组织机构代码证，或者其他身份登记证明。（营业执照或者组织机构代码证等注册信息发生变化的须提交相应批准或证明材料。）</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其在境内设立分支机构或代表机构的批准文件和注册证明。</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居民身份证或军官证、士官证；身份证遗失的，提交临时身份证。未成年人可提交居民身份证或户口簿。</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香港、澳门特别行政区居民身份证、护照，或者来往内地通行证。</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台湾居民来往大陆通行证。</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中华人民共和国护照和国外长期居留身份证件。</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中国政府主管机关签发的居留证件，或者其所在国护照。</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6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委托书</w:t>
            </w:r>
          </w:p>
        </w:tc>
        <w:tc>
          <w:tcPr>
            <w:tcW w:w="3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自然人委托的，提供经公证的委托书；委托书未经公证的，申请人应当与代理人共同到登记机构签署委托书，并经登记机构见证。</w:t>
            </w:r>
          </w:p>
        </w:tc>
        <w:tc>
          <w:tcPr>
            <w:tcW w:w="1012"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6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3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境外申请人委托的，提供经公证或认证的委托书。</w:t>
            </w:r>
          </w:p>
        </w:tc>
        <w:tc>
          <w:tcPr>
            <w:tcW w:w="101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1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w:t>
            </w:r>
            <w:r>
              <w:rPr>
                <w:rFonts w:hint="eastAsia" w:ascii="方正仿宋_GBK" w:hAnsi="方正仿宋_GBK" w:eastAsia="方正仿宋_GBK" w:cs="方正仿宋_GBK"/>
                <w:sz w:val="21"/>
                <w:szCs w:val="21"/>
                <w:lang w:eastAsia="en-US"/>
              </w:rPr>
              <w:t>件</w:t>
            </w:r>
          </w:p>
        </w:tc>
        <w:tc>
          <w:tcPr>
            <w:tcW w:w="171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3</w:t>
            </w:r>
          </w:p>
        </w:tc>
        <w:tc>
          <w:tcPr>
            <w:tcW w:w="1716" w:type="dxa"/>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color w:val="000000"/>
                <w:kern w:val="0"/>
                <w:sz w:val="21"/>
                <w:szCs w:val="21"/>
              </w:rPr>
            </w:pPr>
            <w:r>
              <w:rPr>
                <w:rFonts w:hint="eastAsia" w:ascii="方正仿宋_GBK" w:hAnsi="方正仿宋_GBK" w:eastAsia="方正仿宋_GBK" w:cs="方正仿宋_GBK"/>
                <w:sz w:val="21"/>
                <w:szCs w:val="21"/>
              </w:rPr>
              <w:t>中华人民共和国不动产权证书</w:t>
            </w:r>
          </w:p>
        </w:tc>
        <w:tc>
          <w:tcPr>
            <w:tcW w:w="4113" w:type="dxa"/>
            <w:gridSpan w:val="2"/>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《不动产权证书》或《集体土地使用证》，共有的土地还应提交其他共有证等。</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tc>
        <w:tc>
          <w:tcPr>
            <w:tcW w:w="1716"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人民法院或仲裁委员会生效法律文书</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人民法院、仲裁委员会的生效法律文书。</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因人民法院或者仲裁委员会生效法律文书导致权力消灭的提交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716"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企业合并、分立、兼并、破产的材料、建设用地使用权权属转移材料、有权部门的批准文件</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企业合并、分立、兼并、破产的材料、集体建设用地使用权权属转移材料、有权部门的批准文件等。</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因企业合并、分立、兼并、破产等情形导致权属发生转移的提交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6</w:t>
            </w:r>
          </w:p>
        </w:tc>
        <w:tc>
          <w:tcPr>
            <w:tcW w:w="1716"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作价出资（入股）协议</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作价出资（入股）协议</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作价出资（入股）的提交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9"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7</w:t>
            </w:r>
          </w:p>
        </w:tc>
        <w:tc>
          <w:tcPr>
            <w:tcW w:w="1716"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集体建设用地使用权转移的材料</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其他共有人同意的书面材料。</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按份共有人转让不动产的，受让人是共有人以外的人的，还应当提交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2"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8</w:t>
            </w:r>
          </w:p>
        </w:tc>
        <w:tc>
          <w:tcPr>
            <w:tcW w:w="1716"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本集体经济组织三分之二以上成员或者三分之二以上村民代表同意的材料</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本集体经济组织三分之二以上成员或者三分之二以上村民代表同意的材料,并经街道办事处（镇政府）同意</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bidi w:val="0"/>
              <w:rPr>
                <w:rFonts w:hint="eastAsia" w:ascii="方正仿宋_GBK" w:hAnsi="方正仿宋_GBK" w:eastAsia="方正仿宋_GBK" w:cs="方正仿宋_GBK"/>
                <w:szCs w:val="21"/>
              </w:rPr>
            </w:pPr>
            <w:r>
              <w:rPr>
                <w:rFonts w:hint="eastAsia" w:ascii="华文仿宋" w:hAnsi="华文仿宋" w:eastAsia="华文仿宋" w:cs="华文仿宋"/>
              </w:rPr>
              <w:t>作价出资（入股）的、因企业合并、分立、兼并、破产等情形导致权属发生转移的提交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57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9</w:t>
            </w:r>
          </w:p>
        </w:tc>
        <w:tc>
          <w:tcPr>
            <w:tcW w:w="1716" w:type="dxa"/>
            <w:tcBorders>
              <w:top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税费缴纳凭证</w:t>
            </w:r>
          </w:p>
        </w:tc>
        <w:tc>
          <w:tcPr>
            <w:tcW w:w="411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税费缴纳或减免凭证。</w:t>
            </w:r>
          </w:p>
        </w:tc>
        <w:tc>
          <w:tcPr>
            <w:tcW w:w="101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依法需要缴纳税费的应当提交</w:t>
            </w:r>
          </w:p>
        </w:tc>
      </w:tr>
    </w:tbl>
    <w:p>
      <w:pPr>
        <w:keepNext w:val="0"/>
        <w:keepLines w:val="0"/>
        <w:pageBreakBefore w:val="0"/>
        <w:widowControl w:val="0"/>
        <w:kinsoku/>
        <w:wordWrap/>
        <w:overflowPunct/>
        <w:topLinePunct w:val="0"/>
        <w:autoSpaceDE w:val="0"/>
        <w:autoSpaceDN w:val="0"/>
        <w:bidi w:val="0"/>
        <w:spacing w:before="39" w:line="26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260" w:lineRule="exact"/>
        <w:ind w:firstLine="420" w:firstLineChars="200"/>
        <w:textAlignment w:val="auto"/>
        <w:rPr>
          <w:rFonts w:ascii="宋体" w:hAnsi="宋体" w:cs="宋体"/>
          <w:color w:val="FF0000"/>
          <w:sz w:val="24"/>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4464B"/>
    <w:rsid w:val="00071A85"/>
    <w:rsid w:val="000C234B"/>
    <w:rsid w:val="000C54B0"/>
    <w:rsid w:val="00192024"/>
    <w:rsid w:val="001D6FB2"/>
    <w:rsid w:val="00264EFD"/>
    <w:rsid w:val="0026728B"/>
    <w:rsid w:val="003B754B"/>
    <w:rsid w:val="004753A1"/>
    <w:rsid w:val="004C0AE9"/>
    <w:rsid w:val="004F5B6A"/>
    <w:rsid w:val="005746AE"/>
    <w:rsid w:val="00690556"/>
    <w:rsid w:val="00746365"/>
    <w:rsid w:val="00763311"/>
    <w:rsid w:val="00785FB7"/>
    <w:rsid w:val="007C41E1"/>
    <w:rsid w:val="007D3C7D"/>
    <w:rsid w:val="007F468A"/>
    <w:rsid w:val="00807589"/>
    <w:rsid w:val="00876993"/>
    <w:rsid w:val="00922C87"/>
    <w:rsid w:val="00940ABD"/>
    <w:rsid w:val="00A16D61"/>
    <w:rsid w:val="00A377EB"/>
    <w:rsid w:val="00AB16DB"/>
    <w:rsid w:val="00B33017"/>
    <w:rsid w:val="00B87458"/>
    <w:rsid w:val="00B942D8"/>
    <w:rsid w:val="00C13B68"/>
    <w:rsid w:val="00C17697"/>
    <w:rsid w:val="00C2356E"/>
    <w:rsid w:val="00F9427F"/>
    <w:rsid w:val="0FD5606D"/>
    <w:rsid w:val="4ED40086"/>
    <w:rsid w:val="574F6FB0"/>
    <w:rsid w:val="5D3F048D"/>
    <w:rsid w:val="5DFEC310"/>
    <w:rsid w:val="6C022DB1"/>
    <w:rsid w:val="7105198D"/>
    <w:rsid w:val="748F6002"/>
    <w:rsid w:val="7BEF32D3"/>
    <w:rsid w:val="96EE51FD"/>
    <w:rsid w:val="B7EDC5E5"/>
    <w:rsid w:val="BF7F4D34"/>
    <w:rsid w:val="FBF6FF4B"/>
    <w:rsid w:val="FF2E443A"/>
    <w:rsid w:val="FF7BE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240</Words>
  <Characters>1373</Characters>
  <Lines>11</Lines>
  <Paragraphs>3</Paragraphs>
  <TotalTime>7</TotalTime>
  <ScaleCrop>false</ScaleCrop>
  <LinksUpToDate>false</LinksUpToDate>
  <CharactersWithSpaces>1610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2023-04-02T18:15:00Z</dcterms:created>
  <dc:creator>Administrator</dc:creator>
  <cp:lastModifiedBy>user</cp:lastModifiedBy>
  <dcterms:modified xsi:type="dcterms:W3CDTF">2023-05-24T15:49:05Z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