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4"/>
        </w:tabs>
        <w:adjustRightInd w:val="0"/>
        <w:snapToGrid w:val="0"/>
        <w:spacing w:line="400" w:lineRule="atLeast"/>
        <w:ind w:firstLine="441" w:firstLineChars="100"/>
        <w:jc w:val="center"/>
        <w:rPr>
          <w:rFonts w:hint="eastAsia"/>
          <w:b/>
          <w:bCs/>
          <w:sz w:val="44"/>
          <w:szCs w:val="44"/>
        </w:rPr>
      </w:pPr>
    </w:p>
    <w:p>
      <w:pPr>
        <w:tabs>
          <w:tab w:val="left" w:pos="454"/>
        </w:tabs>
        <w:adjustRightInd w:val="0"/>
        <w:snapToGrid w:val="0"/>
        <w:spacing w:line="400" w:lineRule="atLeast"/>
        <w:ind w:firstLine="360" w:firstLineChars="100"/>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国有建设用地使用权登记（变更登记）申请材料</w:t>
      </w:r>
    </w:p>
    <w:p>
      <w:pPr>
        <w:pStyle w:val="2"/>
      </w:pPr>
    </w:p>
    <w:p>
      <w:pPr>
        <w:numPr>
          <w:ilvl w:val="0"/>
          <w:numId w:val="1"/>
        </w:numPr>
        <w:tabs>
          <w:tab w:val="left" w:pos="312"/>
          <w:tab w:val="clear" w:pos="454"/>
        </w:tabs>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tabs>
          <w:tab w:val="left" w:pos="312"/>
          <w:tab w:val="clear" w:pos="454"/>
        </w:tabs>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tabs>
          <w:tab w:val="left" w:pos="312"/>
          <w:tab w:val="clear" w:pos="454"/>
        </w:tabs>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tabs>
          <w:tab w:val="left" w:pos="312"/>
          <w:tab w:val="clear" w:pos="454"/>
        </w:tabs>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国有建设用地使用权变更材料</w:t>
      </w:r>
      <w:r>
        <w:rPr>
          <w:rFonts w:hint="eastAsia" w:ascii="方正仿宋_GBK" w:hAnsi="方正仿宋_GBK" w:eastAsia="方正仿宋_GBK" w:cs="方正仿宋_GBK"/>
          <w:sz w:val="32"/>
          <w:szCs w:val="32"/>
          <w:lang w:eastAsia="zh-CN"/>
        </w:rPr>
        <w:t>；</w:t>
      </w:r>
    </w:p>
    <w:p>
      <w:pPr>
        <w:tabs>
          <w:tab w:val="left" w:pos="312"/>
        </w:tabs>
        <w:adjustRightInd w:val="0"/>
        <w:snapToGrid w:val="0"/>
        <w:spacing w:line="288" w:lineRule="auto"/>
        <w:rPr>
          <w:rFonts w:hint="eastAsia" w:ascii="Nimbus Sans" w:hAnsi="Nimbus Sans" w:eastAsia="方正仿宋_GBK" w:cs="Nimbus Sans"/>
          <w:sz w:val="32"/>
          <w:szCs w:val="32"/>
          <w:lang w:eastAsia="zh-CN"/>
        </w:rPr>
      </w:pPr>
      <w:r>
        <w:rPr>
          <w:rFonts w:hint="default" w:ascii="Nimbus Sans" w:hAnsi="Nimbus Sans" w:eastAsia="方正仿宋_GBK" w:cs="Nimbus Sans"/>
          <w:sz w:val="32"/>
          <w:szCs w:val="32"/>
        </w:rPr>
        <w:t>5. 税收完税证明（表格式）</w:t>
      </w:r>
      <w:r>
        <w:rPr>
          <w:rFonts w:hint="eastAsia" w:ascii="Nimbus Sans" w:hAnsi="Nimbus Sans" w:eastAsia="方正仿宋_GBK" w:cs="Nimbus Sans"/>
          <w:sz w:val="32"/>
          <w:szCs w:val="32"/>
          <w:lang w:eastAsia="zh-CN"/>
        </w:rPr>
        <w:t>。</w:t>
      </w:r>
      <w:bookmarkStart w:id="0" w:name="_GoBack"/>
      <w:bookmarkEnd w:id="0"/>
    </w:p>
    <w:p>
      <w:pPr>
        <w:tabs>
          <w:tab w:val="left" w:pos="5124"/>
        </w:tabs>
        <w:ind w:firstLine="480"/>
        <w:rPr>
          <w:rFonts w:hint="eastAsia" w:ascii="方正仿宋_GBK" w:hAnsi="方正仿宋_GBK" w:eastAsia="方正仿宋_GBK" w:cs="方正仿宋_GBK"/>
          <w:b/>
          <w:bCs/>
          <w:spacing w:val="-3"/>
          <w:sz w:val="32"/>
          <w:szCs w:val="32"/>
        </w:rPr>
      </w:pPr>
      <w:r>
        <w:rPr>
          <w:rFonts w:hint="eastAsia" w:ascii="方正仿宋_GBK" w:hAnsi="方正仿宋_GBK" w:eastAsia="方正仿宋_GBK" w:cs="方正仿宋_GBK"/>
          <w:b/>
          <w:bCs/>
          <w:spacing w:val="-3"/>
          <w:sz w:val="32"/>
          <w:szCs w:val="32"/>
        </w:rPr>
        <w:t>注：申请材料明细见附表</w:t>
      </w:r>
      <w:r>
        <w:rPr>
          <w:rFonts w:hint="eastAsia" w:ascii="方正仿宋_GBK" w:hAnsi="方正仿宋_GBK" w:eastAsia="方正仿宋_GBK" w:cs="方正仿宋_GBK"/>
          <w:b/>
          <w:bCs/>
          <w:spacing w:val="-3"/>
          <w:sz w:val="32"/>
          <w:szCs w:val="32"/>
        </w:rPr>
        <w:tab/>
      </w: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5124"/>
        </w:tabs>
        <w:ind w:firstLine="480"/>
        <w:rPr>
          <w:rFonts w:cs="宋体" w:asciiTheme="minorEastAsia" w:hAnsiTheme="minorEastAsia" w:eastAsiaTheme="minorEastAsia"/>
          <w:b/>
          <w:bCs/>
          <w:spacing w:val="-3"/>
          <w:sz w:val="24"/>
        </w:rPr>
      </w:pPr>
    </w:p>
    <w:p>
      <w:pPr>
        <w:tabs>
          <w:tab w:val="left" w:pos="454"/>
        </w:tabs>
        <w:adjustRightInd w:val="0"/>
        <w:snapToGrid w:val="0"/>
        <w:spacing w:line="400" w:lineRule="atLeast"/>
        <w:ind w:firstLine="274" w:firstLineChars="100"/>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国有建设用地使用权登记（变更登记）申请材料</w:t>
      </w:r>
    </w:p>
    <w:p>
      <w:pPr>
        <w:tabs>
          <w:tab w:val="left" w:pos="454"/>
        </w:tabs>
        <w:adjustRightInd w:val="0"/>
        <w:snapToGrid w:val="0"/>
        <w:spacing w:line="400" w:lineRule="atLeast"/>
        <w:ind w:firstLine="275" w:firstLineChars="100"/>
        <w:jc w:val="center"/>
        <w:rPr>
          <w:rFonts w:ascii="宋体" w:hAnsi="宋体" w:cs="宋体"/>
          <w:b/>
          <w:bCs/>
          <w:spacing w:val="-3"/>
          <w:sz w:val="28"/>
          <w:szCs w:val="28"/>
        </w:rPr>
      </w:pPr>
    </w:p>
    <w:tbl>
      <w:tblPr>
        <w:tblStyle w:val="5"/>
        <w:tblW w:w="9285"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789"/>
        <w:gridCol w:w="4025"/>
        <w:gridCol w:w="1050"/>
        <w:gridCol w:w="17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82" w:type="dxa"/>
            <w:vAlign w:val="center"/>
          </w:tcPr>
          <w:p>
            <w:pPr>
              <w:autoSpaceDE w:val="0"/>
              <w:autoSpaceDN w:val="0"/>
              <w:adjustRightInd w:val="0"/>
              <w:snapToGrid w:val="0"/>
              <w:ind w:firstLine="17"/>
              <w:jc w:val="center"/>
              <w:rPr>
                <w:rFonts w:ascii="宋体" w:hAnsi="宋体" w:cs="宋体"/>
                <w:b/>
                <w:color w:val="000000"/>
                <w:sz w:val="24"/>
              </w:rPr>
            </w:pPr>
          </w:p>
          <w:p>
            <w:pPr>
              <w:autoSpaceDE w:val="0"/>
              <w:autoSpaceDN w:val="0"/>
              <w:adjustRightInd w:val="0"/>
              <w:snapToGrid w:val="0"/>
              <w:ind w:firstLine="17"/>
              <w:jc w:val="center"/>
              <w:rPr>
                <w:rFonts w:ascii="宋体" w:hAnsi="宋体" w:cs="宋体"/>
                <w:b/>
                <w:color w:val="000000"/>
                <w:sz w:val="24"/>
                <w:lang w:eastAsia="en-US"/>
              </w:rPr>
            </w:pPr>
            <w:r>
              <w:rPr>
                <w:rFonts w:hint="eastAsia" w:ascii="宋体" w:hAnsi="宋体" w:cs="宋体"/>
                <w:b/>
                <w:color w:val="000000"/>
                <w:sz w:val="24"/>
              </w:rPr>
              <w:t>序号</w:t>
            </w:r>
          </w:p>
        </w:tc>
        <w:tc>
          <w:tcPr>
            <w:tcW w:w="1789"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0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39" w:type="dxa"/>
            <w:vAlign w:val="center"/>
          </w:tcPr>
          <w:p>
            <w:pPr>
              <w:autoSpaceDE w:val="0"/>
              <w:autoSpaceDN w:val="0"/>
              <w:adjustRightInd w:val="0"/>
              <w:snapToGrid w:val="0"/>
              <w:ind w:firstLine="17"/>
              <w:jc w:val="both"/>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82"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1</w:t>
            </w:r>
          </w:p>
        </w:tc>
        <w:tc>
          <w:tcPr>
            <w:tcW w:w="178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82"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w:t>
            </w:r>
          </w:p>
        </w:tc>
        <w:tc>
          <w:tcPr>
            <w:tcW w:w="178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受托人身份证明。</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trPr>
        <w:tc>
          <w:tcPr>
            <w:tcW w:w="682"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3</w:t>
            </w:r>
          </w:p>
        </w:tc>
        <w:tc>
          <w:tcPr>
            <w:tcW w:w="178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4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《国有土地使用证》或《不动产权证书》共有的还应提交其他共有证等。</w:t>
            </w:r>
          </w:p>
        </w:tc>
        <w:tc>
          <w:tcPr>
            <w:tcW w:w="1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682" w:type="dxa"/>
            <w:vMerge w:val="restart"/>
            <w:vAlign w:val="center"/>
          </w:tcPr>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tabs>
                <w:tab w:val="left" w:pos="454"/>
              </w:tabs>
              <w:kinsoku/>
              <w:wordWrap/>
              <w:overflowPunct/>
              <w:topLinePunct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789" w:type="dxa"/>
            <w:vMerge w:val="restart"/>
            <w:vAlign w:val="center"/>
          </w:tcPr>
          <w:p>
            <w:pPr>
              <w:keepNext w:val="0"/>
              <w:keepLines w:val="0"/>
              <w:pageBreakBefore w:val="0"/>
              <w:widowControl w:val="0"/>
              <w:tabs>
                <w:tab w:val="left" w:pos="454"/>
              </w:tabs>
              <w:kinsoku/>
              <w:wordWrap/>
              <w:overflowPunct/>
              <w:topLinePunct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国有建设用地使用权变更材料</w:t>
            </w:r>
          </w:p>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户口簿或公安部门证明等。</w:t>
            </w:r>
          </w:p>
        </w:tc>
        <w:tc>
          <w:tcPr>
            <w:tcW w:w="1050" w:type="dxa"/>
            <w:vMerge w:val="restart"/>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姓名或名称变更的提交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5" w:line="320" w:lineRule="exact"/>
              <w:ind w:left="15" w:right="6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港、澳、台地区管理部门出具的姓名或名称、身份证明号码变更的证明材料，相关证明材料需按司法部等国家有关规定进行认证和核验。</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5" w:right="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该国有关管理部门出具的姓名或名称、身份证明号码变更证明材料，相关证明材料需按司法部等国家有关规定进行认证与转递。</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工商管理部门或其他有权部门（如民政人社部门）核准名称变更登记的文件。</w:t>
            </w:r>
          </w:p>
        </w:tc>
        <w:tc>
          <w:tcPr>
            <w:tcW w:w="1050" w:type="dxa"/>
            <w:vMerge w:val="continue"/>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自然资源主管部门同意分割或合并的批准文件。</w:t>
            </w:r>
          </w:p>
        </w:tc>
        <w:tc>
          <w:tcPr>
            <w:tcW w:w="105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同一权利人分割或合并不动产变更的提交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不动产权籍调查表、宗地图、宗地界址点坐标等材料。</w:t>
            </w:r>
          </w:p>
        </w:tc>
        <w:tc>
          <w:tcPr>
            <w:tcW w:w="105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47" w:line="320" w:lineRule="exact"/>
              <w:ind w:left="1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自然资源主管部门出具的批准文件。</w:t>
            </w:r>
          </w:p>
        </w:tc>
        <w:tc>
          <w:tcPr>
            <w:tcW w:w="1050" w:type="dxa"/>
            <w:vMerge w:val="restart"/>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因土地状况发生变化的其他变更提交</w:t>
            </w:r>
          </w:p>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32"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与自然资源主管部门签订的土地出让合同补充协议。</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72"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依法需要补交土地出让价款的，还应当提交土地价款以及相关税费缴纳凭证。</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90" w:line="320" w:lineRule="exact"/>
              <w:ind w:left="1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自然资源主管部门出具的批准文件。</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74" w:line="320" w:lineRule="exact"/>
              <w:ind w:left="1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出让合同补充协议。</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49"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依法需要补交土地出让价款的，还应当提交土地价款缴纳凭证。</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因自然灾害导致部分土地灭失的，提交部分宗地灭失的材料。</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84"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其他面积、界址变更情形的，提交有权机关出具的批准文件。</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6"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依法需要补交土地出让价款的，还应当提交土地出让合同补充协议和土地价款缴纳凭证。</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变更后的不动产权籍调查表、宗地图、宗地界址点坐标等不动产权籍调查成 果。</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110" w:line="320" w:lineRule="exact"/>
              <w:ind w:left="1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共有性质变更协议书或生效法律文书。</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pStyle w:val="8"/>
              <w:keepNext w:val="0"/>
              <w:keepLines w:val="0"/>
              <w:pageBreakBefore w:val="0"/>
              <w:widowControl w:val="0"/>
              <w:kinsoku/>
              <w:wordWrap/>
              <w:overflowPunct/>
              <w:topLinePunct w:val="0"/>
              <w:bidi w:val="0"/>
              <w:spacing w:before="53" w:line="320" w:lineRule="exact"/>
              <w:ind w:left="13" w:right="34"/>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夫妻共有财产共有性质变更的，还应提交婚姻关系证明。</w:t>
            </w:r>
          </w:p>
        </w:tc>
        <w:tc>
          <w:tcPr>
            <w:tcW w:w="1050"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68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8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c>
          <w:tcPr>
            <w:tcW w:w="4025"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公安或地名等管理部门出具的地址变更或命名的文件。</w:t>
            </w:r>
          </w:p>
        </w:tc>
        <w:tc>
          <w:tcPr>
            <w:tcW w:w="1050" w:type="dxa"/>
            <w:vMerge w:val="continue"/>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p>
        </w:tc>
        <w:tc>
          <w:tcPr>
            <w:tcW w:w="1739"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682" w:type="dxa"/>
            <w:vAlign w:val="center"/>
          </w:tcPr>
          <w:p>
            <w:pPr>
              <w:keepNext w:val="0"/>
              <w:keepLines w:val="0"/>
              <w:pageBreakBefore w:val="0"/>
              <w:widowControl w:val="0"/>
              <w:kinsoku/>
              <w:wordWrap/>
              <w:overflowPunct/>
              <w:topLinePunct w:val="0"/>
              <w:bidi w:val="0"/>
              <w:spacing w:line="320" w:lineRule="exact"/>
              <w:jc w:val="center"/>
              <w:textAlignment w:val="auto"/>
              <w:rPr>
                <w:rFonts w:hint="default" w:ascii="方正仿宋_GBK" w:hAnsi="方正仿宋_GBK" w:eastAsia="方正仿宋_GBK" w:cs="方正仿宋_GBK"/>
                <w:sz w:val="21"/>
                <w:szCs w:val="21"/>
                <w:lang w:val="en"/>
              </w:rPr>
            </w:pPr>
            <w:r>
              <w:rPr>
                <w:rFonts w:hint="default" w:ascii="方正仿宋_GBK" w:hAnsi="方正仿宋_GBK" w:eastAsia="方正仿宋_GBK" w:cs="方正仿宋_GBK"/>
                <w:sz w:val="21"/>
                <w:szCs w:val="21"/>
                <w:lang w:val="en"/>
              </w:rPr>
              <w:t>5</w:t>
            </w:r>
          </w:p>
        </w:tc>
        <w:tc>
          <w:tcPr>
            <w:tcW w:w="1789" w:type="dxa"/>
            <w:vAlign w:val="center"/>
          </w:tcPr>
          <w:p>
            <w:pPr>
              <w:keepNext w:val="0"/>
              <w:keepLines w:val="0"/>
              <w:pageBreakBefore w:val="0"/>
              <w:widowControl w:val="0"/>
              <w:kinsoku/>
              <w:wordWrap/>
              <w:overflowPunct/>
              <w:topLinePunct w:val="0"/>
              <w:bidi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税收完税证明</w:t>
            </w:r>
          </w:p>
        </w:tc>
        <w:tc>
          <w:tcPr>
            <w:tcW w:w="4025" w:type="dxa"/>
            <w:vAlign w:val="center"/>
          </w:tcPr>
          <w:p>
            <w:pPr>
              <w:keepNext w:val="0"/>
              <w:keepLines w:val="0"/>
              <w:pageBreakBefore w:val="0"/>
              <w:widowControl w:val="0"/>
              <w:kinsoku/>
              <w:wordWrap/>
              <w:overflowPunct/>
              <w:topLinePunct w:val="0"/>
              <w:bidi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税收完税证明（表格式）</w:t>
            </w:r>
          </w:p>
        </w:tc>
        <w:tc>
          <w:tcPr>
            <w:tcW w:w="10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739"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2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同一权利人分割或合并不动产及因土地状况发生变化的除外</w:t>
            </w:r>
          </w:p>
        </w:tc>
      </w:tr>
    </w:tbl>
    <w:p>
      <w:pPr>
        <w:keepNext w:val="0"/>
        <w:keepLines w:val="0"/>
        <w:pageBreakBefore w:val="0"/>
        <w:widowControl w:val="0"/>
        <w:kinsoku/>
        <w:wordWrap/>
        <w:overflowPunct/>
        <w:topLinePunct w:val="0"/>
        <w:autoSpaceDE w:val="0"/>
        <w:autoSpaceDN w:val="0"/>
        <w:bidi w:val="0"/>
        <w:spacing w:before="39" w:line="32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320" w:lineRule="exact"/>
        <w:ind w:firstLine="420" w:firstLineChars="200"/>
        <w:textAlignment w:val="auto"/>
        <w:rPr>
          <w:rFonts w:cs="宋体" w:asciiTheme="minorEastAsia" w:hAnsiTheme="minorEastAsia" w:eastAsiaTheme="minorEastAsia"/>
          <w:kern w:val="0"/>
          <w:sz w:val="24"/>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Sans">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3476F4"/>
    <w:rsid w:val="00393C3E"/>
    <w:rsid w:val="005140B1"/>
    <w:rsid w:val="005C13CB"/>
    <w:rsid w:val="00661E23"/>
    <w:rsid w:val="00777320"/>
    <w:rsid w:val="00800703"/>
    <w:rsid w:val="008428AE"/>
    <w:rsid w:val="008C0034"/>
    <w:rsid w:val="008E023A"/>
    <w:rsid w:val="009D5F5B"/>
    <w:rsid w:val="00BB4FF5"/>
    <w:rsid w:val="00BB7B70"/>
    <w:rsid w:val="00BC56B4"/>
    <w:rsid w:val="00F95DB8"/>
    <w:rsid w:val="0FD5606D"/>
    <w:rsid w:val="29EF3FB0"/>
    <w:rsid w:val="355F722C"/>
    <w:rsid w:val="4ED40086"/>
    <w:rsid w:val="574F6FB0"/>
    <w:rsid w:val="5D3F048D"/>
    <w:rsid w:val="6C022DB1"/>
    <w:rsid w:val="7105198D"/>
    <w:rsid w:val="748F6002"/>
    <w:rsid w:val="77FB4F35"/>
    <w:rsid w:val="7FAFC3EC"/>
    <w:rsid w:val="BF7F4D34"/>
    <w:rsid w:val="FBF63121"/>
    <w:rsid w:val="FF3EA00E"/>
    <w:rsid w:val="FFFF6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6</Pages>
  <Words>272</Words>
  <Characters>1553</Characters>
  <Lines>12</Lines>
  <Paragraphs>3</Paragraphs>
  <TotalTime>2</TotalTime>
  <ScaleCrop>false</ScaleCrop>
  <LinksUpToDate>false</LinksUpToDate>
  <CharactersWithSpaces>1822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user</cp:lastModifiedBy>
  <dcterms:modified xsi:type="dcterms:W3CDTF">2023-05-24T16:05:37Z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