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902" w:rsidRDefault="00A015D8" w:rsidP="00A015D8">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《汕头海湾高尔夫球场区控制性详细规划（修编）》</w:t>
      </w:r>
    </w:p>
    <w:p w:rsidR="00A015D8" w:rsidRDefault="00A015D8" w:rsidP="00A015D8">
      <w:pPr>
        <w:spacing w:line="560" w:lineRule="exact"/>
        <w:jc w:val="center"/>
        <w:rPr>
          <w:rFonts w:ascii="方正小标宋简体" w:eastAsia="方正小标宋简体"/>
          <w:sz w:val="44"/>
          <w:szCs w:val="44"/>
        </w:rPr>
      </w:pPr>
    </w:p>
    <w:p w:rsidR="00A015D8" w:rsidRPr="00961932" w:rsidRDefault="00A015D8" w:rsidP="00A015D8">
      <w:pPr>
        <w:spacing w:line="560" w:lineRule="exact"/>
        <w:jc w:val="left"/>
        <w:rPr>
          <w:rFonts w:ascii="黑体" w:eastAsia="黑体" w:hAnsi="黑体"/>
          <w:sz w:val="32"/>
          <w:szCs w:val="32"/>
        </w:rPr>
      </w:pPr>
      <w:r w:rsidRPr="00961932">
        <w:rPr>
          <w:rFonts w:ascii="黑体" w:eastAsia="黑体" w:hAnsi="黑体" w:hint="eastAsia"/>
          <w:sz w:val="32"/>
          <w:szCs w:val="32"/>
        </w:rPr>
        <w:t>第一条、规划背景</w:t>
      </w:r>
    </w:p>
    <w:p w:rsidR="00A015D8" w:rsidRPr="00A015D8" w:rsidRDefault="00A015D8" w:rsidP="00A015D8">
      <w:pPr>
        <w:pStyle w:val="a4"/>
        <w:spacing w:before="156" w:after="156" w:line="560" w:lineRule="exact"/>
        <w:ind w:firstLine="495"/>
        <w:rPr>
          <w:rFonts w:ascii="Times New Roman" w:hAnsi="Times New Roman" w:cs="Times New Roman"/>
          <w:sz w:val="32"/>
          <w:szCs w:val="32"/>
        </w:rPr>
      </w:pPr>
      <w:r w:rsidRPr="00A015D8">
        <w:rPr>
          <w:rFonts w:ascii="Times New Roman" w:eastAsia="仿宋_GB2312" w:hAnsi="Times New Roman" w:cs="Times New Roman"/>
          <w:sz w:val="32"/>
          <w:szCs w:val="32"/>
        </w:rPr>
        <w:t>1</w:t>
      </w:r>
      <w:r w:rsidRPr="00A015D8">
        <w:rPr>
          <w:rFonts w:ascii="Times New Roman" w:eastAsia="仿宋_GB2312" w:hAnsi="Times New Roman" w:cs="Times New Roman" w:hint="eastAsia"/>
          <w:sz w:val="32"/>
          <w:szCs w:val="32"/>
        </w:rPr>
        <w:t>.</w:t>
      </w:r>
      <w:r w:rsidRPr="00A015D8">
        <w:rPr>
          <w:rFonts w:ascii="仿宋_GB2312" w:eastAsia="仿宋_GB2312" w:cs="Times New Roman" w:hint="eastAsia"/>
          <w:sz w:val="32"/>
          <w:szCs w:val="32"/>
        </w:rPr>
        <w:t>《中共中央国务院关于建立国土空间规划体系并监督实施的若干意见》指出，未来国土空间规划将构建五级三类规划体系，绘制</w:t>
      </w:r>
      <w:r w:rsidRPr="00A015D8">
        <w:rPr>
          <w:rFonts w:ascii="仿宋_GB2312" w:eastAsia="仿宋_GB2312" w:hAnsi="Times New Roman" w:cs="Times New Roman" w:hint="eastAsia"/>
          <w:sz w:val="32"/>
          <w:szCs w:val="32"/>
        </w:rPr>
        <w:t>“</w:t>
      </w:r>
      <w:r w:rsidRPr="00A015D8">
        <w:rPr>
          <w:rFonts w:ascii="仿宋_GB2312" w:eastAsia="仿宋_GB2312" w:cs="Times New Roman" w:hint="eastAsia"/>
          <w:sz w:val="32"/>
          <w:szCs w:val="32"/>
        </w:rPr>
        <w:t>一张图</w:t>
      </w:r>
      <w:r w:rsidRPr="00A015D8">
        <w:rPr>
          <w:rFonts w:ascii="仿宋_GB2312" w:eastAsia="仿宋_GB2312" w:hAnsi="Times New Roman" w:cs="Times New Roman" w:hint="eastAsia"/>
          <w:sz w:val="32"/>
          <w:szCs w:val="32"/>
        </w:rPr>
        <w:t>”</w:t>
      </w:r>
      <w:r w:rsidRPr="00A015D8">
        <w:rPr>
          <w:rFonts w:ascii="仿宋_GB2312" w:eastAsia="仿宋_GB2312" w:cs="Times New Roman" w:hint="eastAsia"/>
          <w:sz w:val="32"/>
          <w:szCs w:val="32"/>
        </w:rPr>
        <w:t>。控制性详细规划属于</w:t>
      </w:r>
      <w:r w:rsidRPr="00A015D8">
        <w:rPr>
          <w:rFonts w:ascii="仿宋_GB2312" w:eastAsia="仿宋_GB2312" w:hAnsi="Times New Roman" w:cs="Times New Roman" w:hint="eastAsia"/>
          <w:sz w:val="32"/>
          <w:szCs w:val="32"/>
        </w:rPr>
        <w:t>“</w:t>
      </w:r>
      <w:r w:rsidRPr="00A015D8">
        <w:rPr>
          <w:rFonts w:ascii="仿宋_GB2312" w:eastAsia="仿宋_GB2312" w:cs="Times New Roman" w:hint="eastAsia"/>
          <w:sz w:val="32"/>
          <w:szCs w:val="32"/>
        </w:rPr>
        <w:t>三类</w:t>
      </w:r>
      <w:r w:rsidRPr="00A015D8">
        <w:rPr>
          <w:rFonts w:ascii="仿宋_GB2312" w:eastAsia="仿宋_GB2312" w:hAnsi="Times New Roman" w:cs="Times New Roman" w:hint="eastAsia"/>
          <w:sz w:val="32"/>
          <w:szCs w:val="32"/>
        </w:rPr>
        <w:t>”</w:t>
      </w:r>
      <w:r w:rsidRPr="00A015D8">
        <w:rPr>
          <w:rFonts w:ascii="仿宋_GB2312" w:eastAsia="仿宋_GB2312" w:cs="Times New Roman" w:hint="eastAsia"/>
          <w:sz w:val="32"/>
          <w:szCs w:val="32"/>
        </w:rPr>
        <w:t>中的详细规划，是上承总体规划、专项规划，向下直接指导项目设计实施的重要层级。</w:t>
      </w:r>
    </w:p>
    <w:p w:rsidR="00A015D8" w:rsidRPr="001E0FE3" w:rsidRDefault="00A015D8" w:rsidP="00A015D8">
      <w:pPr>
        <w:pStyle w:val="a4"/>
        <w:spacing w:before="156" w:after="156" w:line="560" w:lineRule="exact"/>
        <w:ind w:firstLine="495"/>
        <w:rPr>
          <w:rFonts w:ascii="Times New Roman" w:hAnsi="Times New Roman" w:cs="Times New Roman"/>
          <w:sz w:val="28"/>
          <w:szCs w:val="28"/>
        </w:rPr>
      </w:pPr>
      <w:r w:rsidRPr="00A015D8">
        <w:rPr>
          <w:rFonts w:ascii="Times New Roman" w:eastAsia="仿宋_GB2312" w:hAnsi="Times New Roman" w:cs="Times New Roman"/>
          <w:sz w:val="32"/>
          <w:szCs w:val="32"/>
        </w:rPr>
        <w:t>2</w:t>
      </w:r>
      <w:r w:rsidRPr="00A015D8">
        <w:rPr>
          <w:rFonts w:ascii="Times New Roman" w:eastAsia="仿宋_GB2312" w:hAnsi="Times New Roman" w:cs="Times New Roman" w:hint="eastAsia"/>
          <w:sz w:val="32"/>
          <w:szCs w:val="32"/>
        </w:rPr>
        <w:t>.</w:t>
      </w:r>
      <w:r w:rsidRPr="00A015D8">
        <w:rPr>
          <w:rFonts w:ascii="Times New Roman" w:eastAsia="仿宋_GB2312" w:hAnsi="Times New Roman" w:cs="Times New Roman"/>
          <w:sz w:val="32"/>
          <w:szCs w:val="32"/>
        </w:rPr>
        <w:t>汕头市委市政府作出推进全市控规全覆盖的工作部署，切实把全市控规编制工作列入各级政府和自然资源部门的首要工作。市自然资源局印发《汕头市控制性详细规划全覆盖工作方案》（汕自然资发</w:t>
      </w:r>
      <w:r w:rsidRPr="00A015D8">
        <w:rPr>
          <w:rFonts w:ascii="Times New Roman" w:eastAsia="仿宋_GB2312" w:hAnsi="Times New Roman" w:cs="Times New Roman"/>
          <w:sz w:val="32"/>
          <w:szCs w:val="32"/>
        </w:rPr>
        <w:t>[2019]25</w:t>
      </w:r>
      <w:r w:rsidRPr="00A015D8">
        <w:rPr>
          <w:rFonts w:ascii="Times New Roman" w:eastAsia="仿宋_GB2312" w:hAnsi="Times New Roman" w:cs="Times New Roman"/>
          <w:sz w:val="32"/>
          <w:szCs w:val="32"/>
        </w:rPr>
        <w:t>号），要求各区县在今年底全面完成全市域范围内控规全覆盖上报成果的编制。在此基础上，按照有关程序组织审查、审议和审批工作，同时加强规划信息化建设，最终实现全市</w:t>
      </w:r>
      <w:r w:rsidRPr="00A015D8">
        <w:rPr>
          <w:rFonts w:ascii="Times New Roman" w:eastAsia="仿宋_GB2312" w:hAnsi="Times New Roman" w:cs="Times New Roman"/>
          <w:sz w:val="32"/>
          <w:szCs w:val="32"/>
        </w:rPr>
        <w:t>“</w:t>
      </w:r>
      <w:r w:rsidRPr="00A015D8">
        <w:rPr>
          <w:rFonts w:ascii="Times New Roman" w:eastAsia="仿宋_GB2312" w:hAnsi="Times New Roman" w:cs="Times New Roman"/>
          <w:sz w:val="32"/>
          <w:szCs w:val="32"/>
        </w:rPr>
        <w:t>山水林田湖草</w:t>
      </w:r>
      <w:r w:rsidRPr="00A015D8">
        <w:rPr>
          <w:rFonts w:ascii="Times New Roman" w:eastAsia="仿宋_GB2312" w:hAnsi="Times New Roman" w:cs="Times New Roman"/>
          <w:sz w:val="32"/>
          <w:szCs w:val="32"/>
        </w:rPr>
        <w:t>”</w:t>
      </w:r>
      <w:r w:rsidRPr="00A015D8">
        <w:rPr>
          <w:rFonts w:ascii="Times New Roman" w:eastAsia="仿宋_GB2312" w:hAnsi="Times New Roman" w:cs="Times New Roman"/>
          <w:sz w:val="32"/>
          <w:szCs w:val="32"/>
        </w:rPr>
        <w:t>国土空间全域全要素</w:t>
      </w:r>
      <w:r w:rsidRPr="00A015D8">
        <w:rPr>
          <w:rFonts w:ascii="Times New Roman" w:eastAsia="仿宋_GB2312" w:hAnsi="Times New Roman" w:cs="Times New Roman"/>
          <w:sz w:val="32"/>
          <w:szCs w:val="32"/>
        </w:rPr>
        <w:t>2245</w:t>
      </w:r>
      <w:r w:rsidRPr="00A015D8">
        <w:rPr>
          <w:rFonts w:ascii="Times New Roman" w:eastAsia="仿宋_GB2312" w:hAnsi="Times New Roman" w:cs="Times New Roman"/>
          <w:sz w:val="32"/>
          <w:szCs w:val="32"/>
        </w:rPr>
        <w:t>平方公里全覆盖，实现</w:t>
      </w:r>
      <w:r w:rsidRPr="00A015D8">
        <w:rPr>
          <w:rFonts w:ascii="Times New Roman" w:eastAsia="仿宋_GB2312" w:hAnsi="Times New Roman" w:cs="Times New Roman"/>
          <w:sz w:val="32"/>
          <w:szCs w:val="32"/>
        </w:rPr>
        <w:t>“</w:t>
      </w:r>
      <w:r w:rsidRPr="00A015D8">
        <w:rPr>
          <w:rFonts w:ascii="Times New Roman" w:eastAsia="仿宋_GB2312" w:hAnsi="Times New Roman" w:cs="Times New Roman"/>
          <w:sz w:val="32"/>
          <w:szCs w:val="32"/>
        </w:rPr>
        <w:t>一张图</w:t>
      </w:r>
      <w:r w:rsidRPr="00A015D8">
        <w:rPr>
          <w:rFonts w:ascii="Times New Roman" w:eastAsia="仿宋_GB2312" w:hAnsi="Times New Roman" w:cs="Times New Roman"/>
          <w:sz w:val="32"/>
          <w:szCs w:val="32"/>
        </w:rPr>
        <w:t>”</w:t>
      </w:r>
      <w:r w:rsidRPr="00A015D8">
        <w:rPr>
          <w:rFonts w:ascii="Times New Roman" w:eastAsia="仿宋_GB2312" w:hAnsi="Times New Roman" w:cs="Times New Roman"/>
          <w:sz w:val="32"/>
          <w:szCs w:val="32"/>
        </w:rPr>
        <w:t>管理。</w:t>
      </w:r>
    </w:p>
    <w:p w:rsidR="00A015D8" w:rsidRDefault="00A015D8" w:rsidP="00A015D8">
      <w:pPr>
        <w:spacing w:line="560" w:lineRule="exact"/>
        <w:ind w:firstLineChars="200" w:firstLine="640"/>
        <w:jc w:val="left"/>
        <w:rPr>
          <w:rFonts w:ascii="Times New Roman" w:eastAsia="仿宋_GB2312" w:hAnsi="Times New Roman" w:cs="Times New Roman"/>
          <w:sz w:val="32"/>
          <w:szCs w:val="32"/>
        </w:rPr>
      </w:pPr>
      <w:r w:rsidRPr="00A015D8">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2014</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月，为推动汕头海湾高尔夫球场良性发展，濠江区发展规划局启动《汕头海湾高尔夫球场区控制性详细规划》编制工作，</w:t>
      </w:r>
      <w:r>
        <w:rPr>
          <w:rFonts w:ascii="Times New Roman" w:eastAsia="仿宋_GB2312" w:hAnsi="Times New Roman" w:cs="Times New Roman" w:hint="eastAsia"/>
          <w:sz w:val="32"/>
          <w:szCs w:val="32"/>
        </w:rPr>
        <w:t>2015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月经汕头市濠江区人民政府批准实施。</w:t>
      </w: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月，第</w:t>
      </w:r>
      <w:r>
        <w:rPr>
          <w:rFonts w:ascii="Times New Roman" w:eastAsia="仿宋_GB2312" w:hAnsi="Times New Roman" w:cs="Times New Roman" w:hint="eastAsia"/>
          <w:sz w:val="32"/>
          <w:szCs w:val="32"/>
        </w:rPr>
        <w:t>38</w:t>
      </w:r>
      <w:r>
        <w:rPr>
          <w:rFonts w:ascii="Times New Roman" w:eastAsia="仿宋_GB2312" w:hAnsi="Times New Roman" w:cs="Times New Roman" w:hint="eastAsia"/>
          <w:sz w:val="32"/>
          <w:szCs w:val="32"/>
        </w:rPr>
        <w:t>届亚奥理事会全体大会宣布中国汕头为</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年亚洲青年运动会的举办地，其中高尔夫赛事将在汕头海湾高尔夫球场区举办。为进一步优化用地布局，</w:t>
      </w:r>
      <w:r>
        <w:rPr>
          <w:rFonts w:ascii="Times New Roman" w:eastAsia="仿宋_GB2312" w:hAnsi="Times New Roman" w:cs="Times New Roman" w:hint="eastAsia"/>
          <w:sz w:val="32"/>
          <w:szCs w:val="32"/>
        </w:rPr>
        <w:lastRenderedPageBreak/>
        <w:t>提高球场接待能力，彰显汕头经济特区城市经济形象，特开展本次修编工作。</w:t>
      </w:r>
    </w:p>
    <w:p w:rsidR="00961932" w:rsidRPr="00961932" w:rsidRDefault="00961932" w:rsidP="00961932">
      <w:pPr>
        <w:spacing w:line="560" w:lineRule="exact"/>
        <w:jc w:val="left"/>
        <w:rPr>
          <w:rFonts w:ascii="黑体" w:eastAsia="黑体" w:hAnsi="黑体"/>
          <w:sz w:val="32"/>
          <w:szCs w:val="32"/>
        </w:rPr>
      </w:pPr>
      <w:r w:rsidRPr="00961932">
        <w:rPr>
          <w:rFonts w:ascii="黑体" w:eastAsia="黑体" w:hAnsi="黑体" w:hint="eastAsia"/>
          <w:sz w:val="32"/>
          <w:szCs w:val="32"/>
        </w:rPr>
        <w:t>第二条、规划范围</w:t>
      </w:r>
    </w:p>
    <w:p w:rsidR="00961932" w:rsidRDefault="00961932" w:rsidP="00961932">
      <w:pPr>
        <w:spacing w:line="560" w:lineRule="exact"/>
        <w:ind w:firstLineChars="200" w:firstLine="640"/>
        <w:jc w:val="left"/>
        <w:rPr>
          <w:rFonts w:ascii="Times New Roman" w:eastAsia="仿宋_GB2312" w:hAnsi="Times New Roman" w:cs="Times New Roman"/>
          <w:sz w:val="32"/>
          <w:szCs w:val="32"/>
        </w:rPr>
      </w:pPr>
      <w:r>
        <w:rPr>
          <w:rFonts w:ascii="仿宋_GB2312" w:eastAsia="仿宋_GB2312" w:hint="eastAsia"/>
          <w:sz w:val="32"/>
          <w:szCs w:val="32"/>
        </w:rPr>
        <w:t>规划范围东至汕湛高速公路，西靠东山风景区，北至玉岗路至潮阳延伸段，南至用地权属边界，总面积约</w:t>
      </w:r>
      <w:r w:rsidRPr="00961932">
        <w:rPr>
          <w:rFonts w:ascii="Times New Roman" w:eastAsia="仿宋_GB2312" w:hAnsi="Times New Roman" w:cs="Times New Roman"/>
          <w:sz w:val="32"/>
          <w:szCs w:val="32"/>
        </w:rPr>
        <w:t>196.45</w:t>
      </w:r>
      <w:r w:rsidRPr="00961932">
        <w:rPr>
          <w:rFonts w:ascii="Times New Roman" w:eastAsia="仿宋_GB2312" w:hAnsi="Times New Roman" w:cs="Times New Roman"/>
          <w:sz w:val="32"/>
          <w:szCs w:val="32"/>
        </w:rPr>
        <w:t>公顷（</w:t>
      </w:r>
      <w:r w:rsidRPr="00961932">
        <w:rPr>
          <w:rFonts w:ascii="Times New Roman" w:eastAsia="仿宋_GB2312" w:hAnsi="Times New Roman" w:cs="Times New Roman"/>
          <w:sz w:val="32"/>
          <w:szCs w:val="32"/>
        </w:rPr>
        <w:t>2946.75</w:t>
      </w:r>
      <w:r w:rsidRPr="00961932">
        <w:rPr>
          <w:rFonts w:ascii="Times New Roman" w:eastAsia="仿宋_GB2312" w:hAnsi="Times New Roman" w:cs="Times New Roman"/>
          <w:sz w:val="32"/>
          <w:szCs w:val="32"/>
        </w:rPr>
        <w:t>亩）。</w:t>
      </w:r>
    </w:p>
    <w:p w:rsidR="00961932" w:rsidRDefault="00961932" w:rsidP="00961932">
      <w:pPr>
        <w:spacing w:line="560" w:lineRule="exact"/>
        <w:jc w:val="left"/>
        <w:rPr>
          <w:rFonts w:ascii="黑体" w:eastAsia="黑体" w:hAnsi="黑体"/>
          <w:sz w:val="32"/>
          <w:szCs w:val="32"/>
        </w:rPr>
      </w:pPr>
      <w:r w:rsidRPr="00961932">
        <w:rPr>
          <w:rFonts w:ascii="黑体" w:eastAsia="黑体" w:hAnsi="黑体" w:hint="eastAsia"/>
          <w:sz w:val="32"/>
          <w:szCs w:val="32"/>
        </w:rPr>
        <w:t>第三条、功能定位</w:t>
      </w:r>
    </w:p>
    <w:p w:rsidR="00961932" w:rsidRPr="00961932" w:rsidRDefault="00961932" w:rsidP="00961932">
      <w:pPr>
        <w:spacing w:line="56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规划在对地域特色和现状分析的基础上，确定规划区的功能定位为：集高尔夫运动、旅游休闲、商务度假和品质居住于一体的生态休闲旅游区，是濠江区乃至汕头市重要的城市名片和城市形象的展示窗口。</w:t>
      </w:r>
    </w:p>
    <w:p w:rsidR="00961932" w:rsidRDefault="00961932" w:rsidP="00961932">
      <w:pPr>
        <w:spacing w:line="560" w:lineRule="exact"/>
        <w:jc w:val="left"/>
        <w:rPr>
          <w:rFonts w:ascii="黑体" w:eastAsia="黑体" w:hAnsi="黑体"/>
          <w:sz w:val="32"/>
          <w:szCs w:val="32"/>
        </w:rPr>
      </w:pPr>
      <w:r w:rsidRPr="00961932">
        <w:rPr>
          <w:rFonts w:ascii="黑体" w:eastAsia="黑体" w:hAnsi="黑体" w:hint="eastAsia"/>
          <w:sz w:val="32"/>
          <w:szCs w:val="32"/>
        </w:rPr>
        <w:t>第四条、发展规模</w:t>
      </w:r>
    </w:p>
    <w:p w:rsidR="001962E7" w:rsidRDefault="001962E7" w:rsidP="001962E7">
      <w:pPr>
        <w:spacing w:line="56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规划区总用地面积为196.45公顷，其中规划城市建设用地规模122.93公顷。</w:t>
      </w:r>
    </w:p>
    <w:p w:rsidR="001962E7" w:rsidRPr="001962E7" w:rsidRDefault="001962E7" w:rsidP="001962E7">
      <w:pPr>
        <w:spacing w:line="56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规划住宅用地面积约20.1公顷，住宅建筑面积约30.15万平方米，居住人口约0.7万人。</w:t>
      </w:r>
    </w:p>
    <w:sectPr w:rsidR="001962E7" w:rsidRPr="001962E7" w:rsidSect="002B3377">
      <w:footerReference w:type="default" r:id="rId6"/>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6E7" w:rsidRDefault="00B916E7" w:rsidP="002B3377">
      <w:r>
        <w:separator/>
      </w:r>
    </w:p>
  </w:endnote>
  <w:endnote w:type="continuationSeparator" w:id="1">
    <w:p w:rsidR="00B916E7" w:rsidRDefault="00B916E7" w:rsidP="002B33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675591"/>
      <w:docPartObj>
        <w:docPartGallery w:val="Page Numbers (Bottom of Page)"/>
        <w:docPartUnique/>
      </w:docPartObj>
    </w:sdtPr>
    <w:sdtEndPr>
      <w:rPr>
        <w:rFonts w:ascii="仿宋_GB2312" w:eastAsia="仿宋_GB2312" w:hint="eastAsia"/>
        <w:sz w:val="30"/>
        <w:szCs w:val="30"/>
      </w:rPr>
    </w:sdtEndPr>
    <w:sdtContent>
      <w:p w:rsidR="002B3377" w:rsidRPr="002B3377" w:rsidRDefault="002B3377">
        <w:pPr>
          <w:pStyle w:val="a6"/>
          <w:jc w:val="center"/>
          <w:rPr>
            <w:rFonts w:ascii="仿宋_GB2312" w:eastAsia="仿宋_GB2312" w:hint="eastAsia"/>
            <w:sz w:val="30"/>
            <w:szCs w:val="30"/>
          </w:rPr>
        </w:pPr>
        <w:r w:rsidRPr="002B3377">
          <w:rPr>
            <w:rFonts w:ascii="仿宋_GB2312" w:eastAsia="仿宋_GB2312" w:hint="eastAsia"/>
            <w:sz w:val="30"/>
            <w:szCs w:val="30"/>
          </w:rPr>
          <w:fldChar w:fldCharType="begin"/>
        </w:r>
        <w:r w:rsidRPr="002B3377">
          <w:rPr>
            <w:rFonts w:ascii="仿宋_GB2312" w:eastAsia="仿宋_GB2312" w:hint="eastAsia"/>
            <w:sz w:val="30"/>
            <w:szCs w:val="30"/>
          </w:rPr>
          <w:instrText xml:space="preserve"> PAGE   \* MERGEFORMAT </w:instrText>
        </w:r>
        <w:r w:rsidRPr="002B3377">
          <w:rPr>
            <w:rFonts w:ascii="仿宋_GB2312" w:eastAsia="仿宋_GB2312" w:hint="eastAsia"/>
            <w:sz w:val="30"/>
            <w:szCs w:val="30"/>
          </w:rPr>
          <w:fldChar w:fldCharType="separate"/>
        </w:r>
        <w:r w:rsidRPr="002B3377">
          <w:rPr>
            <w:rFonts w:ascii="仿宋_GB2312" w:eastAsia="仿宋_GB2312"/>
            <w:noProof/>
            <w:sz w:val="30"/>
            <w:szCs w:val="30"/>
            <w:lang w:val="zh-CN"/>
          </w:rPr>
          <w:t>-</w:t>
        </w:r>
        <w:r>
          <w:rPr>
            <w:rFonts w:ascii="仿宋_GB2312" w:eastAsia="仿宋_GB2312"/>
            <w:noProof/>
            <w:sz w:val="30"/>
            <w:szCs w:val="30"/>
          </w:rPr>
          <w:t xml:space="preserve"> 1 -</w:t>
        </w:r>
        <w:r w:rsidRPr="002B3377">
          <w:rPr>
            <w:rFonts w:ascii="仿宋_GB2312" w:eastAsia="仿宋_GB2312" w:hint="eastAsia"/>
            <w:sz w:val="30"/>
            <w:szCs w:val="30"/>
          </w:rPr>
          <w:fldChar w:fldCharType="end"/>
        </w:r>
      </w:p>
    </w:sdtContent>
  </w:sdt>
  <w:p w:rsidR="002B3377" w:rsidRDefault="002B337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6E7" w:rsidRDefault="00B916E7" w:rsidP="002B3377">
      <w:r>
        <w:separator/>
      </w:r>
    </w:p>
  </w:footnote>
  <w:footnote w:type="continuationSeparator" w:id="1">
    <w:p w:rsidR="00B916E7" w:rsidRDefault="00B916E7" w:rsidP="002B33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15D8"/>
    <w:rsid w:val="001962E7"/>
    <w:rsid w:val="002B3377"/>
    <w:rsid w:val="00961932"/>
    <w:rsid w:val="00A015D8"/>
    <w:rsid w:val="00B916E7"/>
    <w:rsid w:val="00D529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9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文本正文 字符"/>
    <w:basedOn w:val="a0"/>
    <w:link w:val="a4"/>
    <w:rsid w:val="00A015D8"/>
    <w:rPr>
      <w:rFonts w:ascii="宋体" w:hAnsi="宋体"/>
      <w:sz w:val="24"/>
      <w:szCs w:val="24"/>
    </w:rPr>
  </w:style>
  <w:style w:type="paragraph" w:customStyle="1" w:styleId="a4">
    <w:name w:val="文本正文"/>
    <w:basedOn w:val="a"/>
    <w:link w:val="a3"/>
    <w:qFormat/>
    <w:rsid w:val="00A015D8"/>
    <w:pPr>
      <w:tabs>
        <w:tab w:val="left" w:pos="1134"/>
      </w:tabs>
      <w:spacing w:beforeLines="50" w:afterLines="50"/>
    </w:pPr>
    <w:rPr>
      <w:rFonts w:ascii="宋体" w:hAnsi="宋体"/>
      <w:sz w:val="24"/>
      <w:szCs w:val="24"/>
    </w:rPr>
  </w:style>
  <w:style w:type="paragraph" w:styleId="a5">
    <w:name w:val="header"/>
    <w:basedOn w:val="a"/>
    <w:link w:val="Char"/>
    <w:uiPriority w:val="99"/>
    <w:semiHidden/>
    <w:unhideWhenUsed/>
    <w:rsid w:val="002B33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B3377"/>
    <w:rPr>
      <w:sz w:val="18"/>
      <w:szCs w:val="18"/>
    </w:rPr>
  </w:style>
  <w:style w:type="paragraph" w:styleId="a6">
    <w:name w:val="footer"/>
    <w:basedOn w:val="a"/>
    <w:link w:val="Char0"/>
    <w:uiPriority w:val="99"/>
    <w:unhideWhenUsed/>
    <w:rsid w:val="002B3377"/>
    <w:pPr>
      <w:tabs>
        <w:tab w:val="center" w:pos="4153"/>
        <w:tab w:val="right" w:pos="8306"/>
      </w:tabs>
      <w:snapToGrid w:val="0"/>
      <w:jc w:val="left"/>
    </w:pPr>
    <w:rPr>
      <w:sz w:val="18"/>
      <w:szCs w:val="18"/>
    </w:rPr>
  </w:style>
  <w:style w:type="character" w:customStyle="1" w:styleId="Char0">
    <w:name w:val="页脚 Char"/>
    <w:basedOn w:val="a0"/>
    <w:link w:val="a6"/>
    <w:uiPriority w:val="99"/>
    <w:rsid w:val="002B337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124</Words>
  <Characters>707</Characters>
  <Application>Microsoft Office Word</Application>
  <DocSecurity>0</DocSecurity>
  <Lines>5</Lines>
  <Paragraphs>1</Paragraphs>
  <ScaleCrop>false</ScaleCrop>
  <Company>China</Company>
  <LinksUpToDate>false</LinksUpToDate>
  <CharactersWithSpaces>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kafka</dc:creator>
  <cp:keywords/>
  <dc:description/>
  <cp:lastModifiedBy>kafka</cp:lastModifiedBy>
  <cp:revision>3</cp:revision>
  <dcterms:created xsi:type="dcterms:W3CDTF">2021-07-06T01:34:00Z</dcterms:created>
  <dcterms:modified xsi:type="dcterms:W3CDTF">2021-07-08T07:12:00Z</dcterms:modified>
</cp:coreProperties>
</file>