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59E" w:rsidRDefault="00AA059E">
      <w:pPr>
        <w:spacing w:line="360" w:lineRule="auto"/>
        <w:jc w:val="center"/>
        <w:rPr>
          <w:rFonts w:eastAsia="宋体"/>
          <w:kern w:val="0"/>
          <w:sz w:val="36"/>
          <w:szCs w:val="36"/>
        </w:rPr>
      </w:pPr>
      <w:r>
        <w:rPr>
          <w:rFonts w:eastAsia="宋体"/>
          <w:kern w:val="0"/>
          <w:sz w:val="36"/>
          <w:szCs w:val="36"/>
        </w:rPr>
        <w:t>2023</w:t>
      </w:r>
      <w:r>
        <w:rPr>
          <w:rFonts w:eastAsia="宋体" w:cs="宋体" w:hint="eastAsia"/>
          <w:kern w:val="0"/>
          <w:sz w:val="36"/>
          <w:szCs w:val="36"/>
        </w:rPr>
        <w:t>年濠江区涂料产品质量监督抽查</w:t>
      </w:r>
    </w:p>
    <w:p w:rsidR="00AA059E" w:rsidRDefault="00AA059E">
      <w:pPr>
        <w:spacing w:line="360" w:lineRule="auto"/>
        <w:jc w:val="center"/>
        <w:rPr>
          <w:rFonts w:eastAsia="宋体"/>
          <w:sz w:val="36"/>
          <w:szCs w:val="36"/>
        </w:rPr>
      </w:pPr>
      <w:r>
        <w:rPr>
          <w:rFonts w:eastAsia="宋体" w:cs="宋体" w:hint="eastAsia"/>
          <w:kern w:val="0"/>
          <w:sz w:val="36"/>
          <w:szCs w:val="36"/>
        </w:rPr>
        <w:t>实施细则</w:t>
      </w:r>
    </w:p>
    <w:p w:rsidR="00AA059E" w:rsidRDefault="00AA059E" w:rsidP="008A1CCE">
      <w:pPr>
        <w:spacing w:line="360" w:lineRule="auto"/>
        <w:ind w:firstLineChars="200" w:firstLine="31680"/>
        <w:jc w:val="left"/>
        <w:rPr>
          <w:rFonts w:eastAsia="宋体"/>
          <w:b/>
          <w:bCs/>
          <w:sz w:val="24"/>
          <w:szCs w:val="24"/>
        </w:rPr>
      </w:pPr>
    </w:p>
    <w:p w:rsidR="00AA059E" w:rsidRDefault="00AA059E" w:rsidP="007147E7">
      <w:pPr>
        <w:snapToGrid w:val="0"/>
        <w:spacing w:beforeLines="50" w:line="360" w:lineRule="auto"/>
        <w:rPr>
          <w:rFonts w:eastAsia="宋体"/>
          <w:b/>
          <w:bCs/>
          <w:color w:val="000000"/>
          <w:sz w:val="30"/>
          <w:szCs w:val="30"/>
        </w:rPr>
      </w:pPr>
      <w:r>
        <w:rPr>
          <w:rFonts w:eastAsia="宋体"/>
          <w:b/>
          <w:bCs/>
          <w:color w:val="000000"/>
          <w:sz w:val="30"/>
          <w:szCs w:val="30"/>
        </w:rPr>
        <w:t>1</w:t>
      </w:r>
      <w:r>
        <w:rPr>
          <w:rFonts w:eastAsia="宋体" w:cs="宋体" w:hint="eastAsia"/>
          <w:b/>
          <w:bCs/>
          <w:color w:val="000000"/>
          <w:sz w:val="30"/>
          <w:szCs w:val="30"/>
        </w:rPr>
        <w:t>适用范围</w:t>
      </w:r>
    </w:p>
    <w:p w:rsidR="00AA059E" w:rsidRDefault="00AA059E" w:rsidP="008A1CCE">
      <w:pPr>
        <w:spacing w:line="360" w:lineRule="auto"/>
        <w:ind w:firstLineChars="200" w:firstLine="31680"/>
        <w:jc w:val="left"/>
        <w:rPr>
          <w:rFonts w:eastAsia="宋体"/>
          <w:sz w:val="24"/>
          <w:szCs w:val="24"/>
        </w:rPr>
      </w:pPr>
      <w:r>
        <w:rPr>
          <w:rFonts w:eastAsia="宋体" w:cs="宋体" w:hint="eastAsia"/>
          <w:sz w:val="24"/>
          <w:szCs w:val="24"/>
        </w:rPr>
        <w:t>本细则适用于产品质量监督抽查的抽样、检验工作。</w:t>
      </w:r>
    </w:p>
    <w:p w:rsidR="00AA059E" w:rsidRDefault="00AA059E" w:rsidP="008A1CCE">
      <w:pPr>
        <w:spacing w:line="360" w:lineRule="auto"/>
        <w:ind w:firstLineChars="200" w:firstLine="31680"/>
        <w:jc w:val="left"/>
        <w:rPr>
          <w:rFonts w:eastAsia="宋体"/>
          <w:sz w:val="24"/>
          <w:szCs w:val="24"/>
        </w:rPr>
      </w:pPr>
      <w:r>
        <w:rPr>
          <w:rFonts w:eastAsia="宋体" w:cs="宋体" w:hint="eastAsia"/>
          <w:sz w:val="24"/>
          <w:szCs w:val="24"/>
        </w:rPr>
        <w:t>本细则包括抽查产品、抽样、检验程序、检验依据、检验项目及重要程度分类、判定原则、异议处理。</w:t>
      </w:r>
    </w:p>
    <w:p w:rsidR="00AA059E" w:rsidRDefault="00AA059E" w:rsidP="007147E7">
      <w:pPr>
        <w:snapToGrid w:val="0"/>
        <w:spacing w:beforeLines="50" w:line="360" w:lineRule="auto"/>
        <w:rPr>
          <w:rFonts w:eastAsia="宋体"/>
          <w:b/>
          <w:bCs/>
          <w:color w:val="000000"/>
          <w:sz w:val="30"/>
          <w:szCs w:val="30"/>
        </w:rPr>
      </w:pPr>
      <w:r>
        <w:rPr>
          <w:rFonts w:eastAsia="宋体"/>
          <w:b/>
          <w:bCs/>
          <w:color w:val="000000"/>
          <w:sz w:val="30"/>
          <w:szCs w:val="30"/>
        </w:rPr>
        <w:t xml:space="preserve">2 </w:t>
      </w:r>
      <w:r>
        <w:rPr>
          <w:rFonts w:eastAsia="宋体" w:cs="宋体" w:hint="eastAsia"/>
          <w:b/>
          <w:bCs/>
          <w:color w:val="000000"/>
          <w:sz w:val="30"/>
          <w:szCs w:val="30"/>
        </w:rPr>
        <w:t>抽查产品</w:t>
      </w:r>
    </w:p>
    <w:p w:rsidR="00AA059E" w:rsidRDefault="00AA059E" w:rsidP="008A1CCE">
      <w:pPr>
        <w:spacing w:line="360" w:lineRule="auto"/>
        <w:ind w:firstLineChars="200" w:firstLine="31680"/>
        <w:jc w:val="left"/>
        <w:rPr>
          <w:rFonts w:eastAsia="宋体"/>
          <w:sz w:val="24"/>
          <w:szCs w:val="24"/>
        </w:rPr>
      </w:pPr>
      <w:r>
        <w:rPr>
          <w:rFonts w:eastAsia="宋体" w:cs="宋体" w:hint="eastAsia"/>
          <w:sz w:val="24"/>
          <w:szCs w:val="24"/>
        </w:rPr>
        <w:t>溶剂型木器涂料、合成树脂乳液内墙涂料（水性、面漆）、建筑用外墙涂料（水性，面漆）、建筑用防水涂料以及水性木器涂料。</w:t>
      </w:r>
    </w:p>
    <w:p w:rsidR="00AA059E" w:rsidRDefault="00AA059E" w:rsidP="007147E7">
      <w:pPr>
        <w:snapToGrid w:val="0"/>
        <w:spacing w:beforeLines="50" w:line="360" w:lineRule="auto"/>
        <w:rPr>
          <w:rFonts w:eastAsia="宋体"/>
          <w:b/>
          <w:bCs/>
          <w:color w:val="000000"/>
          <w:sz w:val="30"/>
          <w:szCs w:val="30"/>
        </w:rPr>
      </w:pPr>
      <w:r>
        <w:rPr>
          <w:rFonts w:eastAsia="宋体"/>
          <w:b/>
          <w:bCs/>
          <w:color w:val="000000"/>
          <w:sz w:val="30"/>
          <w:szCs w:val="30"/>
        </w:rPr>
        <w:t xml:space="preserve">3 </w:t>
      </w:r>
      <w:r>
        <w:rPr>
          <w:rFonts w:eastAsia="宋体" w:cs="宋体" w:hint="eastAsia"/>
          <w:b/>
          <w:bCs/>
          <w:color w:val="000000"/>
          <w:sz w:val="30"/>
          <w:szCs w:val="30"/>
        </w:rPr>
        <w:t>抽样、检验程序</w:t>
      </w:r>
    </w:p>
    <w:p w:rsidR="00AA059E" w:rsidRDefault="00AA059E" w:rsidP="008A1CCE">
      <w:pPr>
        <w:spacing w:line="360" w:lineRule="auto"/>
        <w:ind w:firstLineChars="200" w:firstLine="31680"/>
        <w:jc w:val="left"/>
        <w:rPr>
          <w:rFonts w:eastAsia="宋体"/>
          <w:sz w:val="24"/>
          <w:szCs w:val="24"/>
        </w:rPr>
      </w:pPr>
      <w:r>
        <w:rPr>
          <w:rFonts w:eastAsia="宋体"/>
          <w:sz w:val="24"/>
          <w:szCs w:val="24"/>
        </w:rPr>
        <w:t xml:space="preserve">3.1  </w:t>
      </w:r>
      <w:r>
        <w:rPr>
          <w:rFonts w:eastAsia="宋体" w:cs="宋体" w:hint="eastAsia"/>
          <w:sz w:val="24"/>
          <w:szCs w:val="24"/>
        </w:rPr>
        <w:t>《产品质量监督抽查管理暂行办法》（国家市场监督管理总局令第</w:t>
      </w:r>
      <w:r>
        <w:rPr>
          <w:rFonts w:eastAsia="宋体"/>
          <w:sz w:val="24"/>
          <w:szCs w:val="24"/>
        </w:rPr>
        <w:t>18</w:t>
      </w:r>
      <w:r>
        <w:rPr>
          <w:rFonts w:eastAsia="宋体" w:cs="宋体" w:hint="eastAsia"/>
          <w:sz w:val="24"/>
          <w:szCs w:val="24"/>
        </w:rPr>
        <w:t>号）</w:t>
      </w:r>
    </w:p>
    <w:p w:rsidR="00AA059E" w:rsidRDefault="00AA059E" w:rsidP="008A1CCE">
      <w:pPr>
        <w:spacing w:line="360" w:lineRule="auto"/>
        <w:ind w:firstLineChars="200" w:firstLine="31680"/>
        <w:jc w:val="left"/>
        <w:rPr>
          <w:rFonts w:eastAsia="宋体"/>
          <w:sz w:val="24"/>
          <w:szCs w:val="24"/>
        </w:rPr>
      </w:pPr>
      <w:r>
        <w:rPr>
          <w:rFonts w:eastAsia="宋体"/>
          <w:sz w:val="24"/>
          <w:szCs w:val="24"/>
        </w:rPr>
        <w:t>3.2  T/GDAQI 020-2022</w:t>
      </w:r>
      <w:r>
        <w:rPr>
          <w:rFonts w:eastAsia="宋体" w:cs="宋体" w:hint="eastAsia"/>
          <w:sz w:val="24"/>
          <w:szCs w:val="24"/>
        </w:rPr>
        <w:t>《产品质量监督抽查抽样检验技术服务规范》</w:t>
      </w:r>
    </w:p>
    <w:p w:rsidR="00AA059E" w:rsidRDefault="00AA059E" w:rsidP="008A1CCE">
      <w:pPr>
        <w:spacing w:line="360" w:lineRule="auto"/>
        <w:ind w:firstLineChars="200" w:firstLine="31680"/>
        <w:jc w:val="left"/>
        <w:rPr>
          <w:rFonts w:eastAsia="宋体"/>
          <w:sz w:val="24"/>
          <w:szCs w:val="24"/>
        </w:rPr>
      </w:pPr>
      <w:r>
        <w:rPr>
          <w:rFonts w:eastAsia="宋体"/>
          <w:sz w:val="24"/>
          <w:szCs w:val="24"/>
        </w:rPr>
        <w:t xml:space="preserve">3.3  </w:t>
      </w:r>
      <w:r>
        <w:rPr>
          <w:rFonts w:eastAsia="宋体" w:cs="宋体" w:hint="eastAsia"/>
          <w:sz w:val="24"/>
          <w:szCs w:val="24"/>
        </w:rPr>
        <w:t>承检机构在抽样检验程序中根据实际情况及检验程序的法定性与有效性予以补充</w:t>
      </w:r>
    </w:p>
    <w:p w:rsidR="00AA059E" w:rsidRDefault="00AA059E" w:rsidP="008A1CCE">
      <w:pPr>
        <w:spacing w:line="360" w:lineRule="auto"/>
        <w:ind w:firstLineChars="200" w:firstLine="31680"/>
        <w:jc w:val="left"/>
        <w:rPr>
          <w:rFonts w:eastAsia="宋体"/>
          <w:sz w:val="24"/>
          <w:szCs w:val="24"/>
        </w:rPr>
      </w:pPr>
      <w:r>
        <w:rPr>
          <w:rFonts w:eastAsia="宋体"/>
          <w:sz w:val="24"/>
          <w:szCs w:val="24"/>
        </w:rPr>
        <w:t xml:space="preserve">3.4 </w:t>
      </w:r>
      <w:r>
        <w:rPr>
          <w:rFonts w:eastAsia="宋体" w:cs="宋体" w:hint="eastAsia"/>
          <w:sz w:val="24"/>
          <w:szCs w:val="24"/>
        </w:rPr>
        <w:t>封样要求：抽取的样品应现场封样，由抽样单位抽样人员、被抽样市场主体签字确认，每款产品的</w:t>
      </w:r>
      <w:r>
        <w:rPr>
          <w:rFonts w:eastAsia="宋体"/>
          <w:sz w:val="24"/>
          <w:szCs w:val="24"/>
        </w:rPr>
        <w:t>2</w:t>
      </w:r>
      <w:r>
        <w:rPr>
          <w:rFonts w:eastAsia="宋体" w:cs="宋体" w:hint="eastAsia"/>
          <w:sz w:val="24"/>
          <w:szCs w:val="24"/>
        </w:rPr>
        <w:t>组样品分别封样，抽样机构应采取防拆封措施，备样封存于被抽样单位。</w:t>
      </w:r>
    </w:p>
    <w:p w:rsidR="00AA059E" w:rsidRPr="005E2EF1" w:rsidRDefault="00AA059E" w:rsidP="008A1CCE">
      <w:pPr>
        <w:spacing w:line="360" w:lineRule="auto"/>
        <w:ind w:firstLineChars="200" w:firstLine="31680"/>
        <w:jc w:val="left"/>
        <w:rPr>
          <w:rFonts w:eastAsia="宋体"/>
          <w:sz w:val="24"/>
          <w:szCs w:val="24"/>
        </w:rPr>
      </w:pPr>
      <w:r>
        <w:rPr>
          <w:rFonts w:eastAsia="宋体"/>
          <w:sz w:val="24"/>
          <w:szCs w:val="24"/>
        </w:rPr>
        <w:t xml:space="preserve">3.5 </w:t>
      </w:r>
      <w:r w:rsidRPr="005E2EF1">
        <w:rPr>
          <w:rFonts w:eastAsia="宋体" w:cs="宋体" w:hint="eastAsia"/>
          <w:sz w:val="24"/>
          <w:szCs w:val="24"/>
        </w:rPr>
        <w:t>抽样数量：</w:t>
      </w:r>
      <w:r w:rsidRPr="005E2EF1">
        <w:rPr>
          <w:rFonts w:eastAsia="宋体"/>
          <w:sz w:val="24"/>
          <w:szCs w:val="24"/>
        </w:rPr>
        <w:t>2</w:t>
      </w:r>
      <w:r w:rsidRPr="005E2EF1">
        <w:rPr>
          <w:rFonts w:eastAsia="宋体" w:cs="宋体" w:hint="eastAsia"/>
          <w:sz w:val="24"/>
          <w:szCs w:val="24"/>
        </w:rPr>
        <w:t>份样品，每份样品重</w:t>
      </w:r>
      <w:r w:rsidRPr="005E2EF1">
        <w:rPr>
          <w:rFonts w:eastAsia="宋体"/>
          <w:sz w:val="24"/>
          <w:szCs w:val="24"/>
        </w:rPr>
        <w:t>500g</w:t>
      </w:r>
      <w:r w:rsidRPr="005E2EF1">
        <w:rPr>
          <w:rFonts w:eastAsia="宋体" w:cs="宋体" w:hint="eastAsia"/>
          <w:sz w:val="24"/>
          <w:szCs w:val="24"/>
        </w:rPr>
        <w:t>以上，其中</w:t>
      </w:r>
      <w:r w:rsidRPr="005E2EF1">
        <w:rPr>
          <w:rFonts w:eastAsia="宋体"/>
          <w:sz w:val="24"/>
          <w:szCs w:val="24"/>
        </w:rPr>
        <w:t>1</w:t>
      </w:r>
      <w:r w:rsidRPr="005E2EF1">
        <w:rPr>
          <w:rFonts w:eastAsia="宋体" w:cs="宋体" w:hint="eastAsia"/>
          <w:sz w:val="24"/>
          <w:szCs w:val="24"/>
        </w:rPr>
        <w:t>份用于检验，</w:t>
      </w:r>
      <w:r w:rsidRPr="005E2EF1">
        <w:rPr>
          <w:rFonts w:eastAsia="宋体"/>
          <w:sz w:val="24"/>
          <w:szCs w:val="24"/>
        </w:rPr>
        <w:t>1</w:t>
      </w:r>
      <w:r w:rsidRPr="005E2EF1">
        <w:rPr>
          <w:rFonts w:eastAsia="宋体" w:cs="宋体" w:hint="eastAsia"/>
          <w:sz w:val="24"/>
          <w:szCs w:val="24"/>
        </w:rPr>
        <w:t>份备样。</w:t>
      </w:r>
    </w:p>
    <w:p w:rsidR="00AA059E" w:rsidRDefault="00AA059E" w:rsidP="008A1CCE">
      <w:pPr>
        <w:spacing w:line="360" w:lineRule="auto"/>
        <w:ind w:firstLineChars="200" w:firstLine="31680"/>
        <w:jc w:val="left"/>
        <w:rPr>
          <w:rFonts w:eastAsia="宋体"/>
          <w:sz w:val="24"/>
          <w:szCs w:val="24"/>
        </w:rPr>
      </w:pPr>
      <w:bookmarkStart w:id="0" w:name="_GoBack"/>
      <w:bookmarkEnd w:id="0"/>
    </w:p>
    <w:p w:rsidR="00AA059E" w:rsidRDefault="00AA059E" w:rsidP="007147E7">
      <w:pPr>
        <w:snapToGrid w:val="0"/>
        <w:spacing w:beforeLines="50" w:line="360" w:lineRule="auto"/>
        <w:rPr>
          <w:rFonts w:eastAsia="宋体"/>
          <w:b/>
          <w:bCs/>
          <w:color w:val="000000"/>
          <w:sz w:val="30"/>
          <w:szCs w:val="30"/>
        </w:rPr>
      </w:pPr>
      <w:r>
        <w:rPr>
          <w:rFonts w:eastAsia="宋体"/>
          <w:b/>
          <w:bCs/>
          <w:color w:val="000000"/>
          <w:sz w:val="30"/>
          <w:szCs w:val="30"/>
        </w:rPr>
        <w:t xml:space="preserve">4 </w:t>
      </w:r>
      <w:r>
        <w:rPr>
          <w:rFonts w:eastAsia="宋体" w:cs="宋体" w:hint="eastAsia"/>
          <w:b/>
          <w:bCs/>
          <w:color w:val="000000"/>
          <w:sz w:val="30"/>
          <w:szCs w:val="30"/>
        </w:rPr>
        <w:t>检验依据</w:t>
      </w:r>
    </w:p>
    <w:p w:rsidR="00AA059E" w:rsidRDefault="00AA059E" w:rsidP="008A1CCE">
      <w:pPr>
        <w:spacing w:line="360" w:lineRule="auto"/>
        <w:ind w:firstLineChars="200" w:firstLine="31680"/>
        <w:jc w:val="left"/>
        <w:rPr>
          <w:rFonts w:eastAsia="宋体"/>
          <w:sz w:val="24"/>
          <w:szCs w:val="24"/>
        </w:rPr>
      </w:pPr>
      <w:r>
        <w:rPr>
          <w:rFonts w:eastAsia="宋体"/>
          <w:sz w:val="24"/>
          <w:szCs w:val="24"/>
        </w:rPr>
        <w:t>4.1  GB/T 9755-2014</w:t>
      </w:r>
      <w:r>
        <w:rPr>
          <w:rFonts w:eastAsia="宋体" w:cs="宋体" w:hint="eastAsia"/>
          <w:sz w:val="24"/>
          <w:szCs w:val="24"/>
        </w:rPr>
        <w:t>《合成树脂乳液外墙涂料》</w:t>
      </w:r>
    </w:p>
    <w:p w:rsidR="00AA059E" w:rsidRDefault="00AA059E" w:rsidP="008A1CCE">
      <w:pPr>
        <w:spacing w:line="360" w:lineRule="auto"/>
        <w:ind w:firstLineChars="200" w:firstLine="31680"/>
        <w:jc w:val="left"/>
        <w:rPr>
          <w:rFonts w:eastAsia="宋体"/>
          <w:sz w:val="24"/>
          <w:szCs w:val="24"/>
        </w:rPr>
      </w:pPr>
      <w:r>
        <w:rPr>
          <w:rFonts w:eastAsia="宋体"/>
          <w:sz w:val="24"/>
          <w:szCs w:val="24"/>
        </w:rPr>
        <w:t>4.2  GB/T 9756-2018</w:t>
      </w:r>
      <w:r>
        <w:rPr>
          <w:rFonts w:eastAsia="宋体" w:cs="宋体" w:hint="eastAsia"/>
          <w:sz w:val="24"/>
          <w:szCs w:val="24"/>
        </w:rPr>
        <w:t>《合成树脂乳液内墙涂料》</w:t>
      </w:r>
    </w:p>
    <w:p w:rsidR="00AA059E" w:rsidRDefault="00AA059E" w:rsidP="008A1CCE">
      <w:pPr>
        <w:spacing w:line="360" w:lineRule="auto"/>
        <w:ind w:firstLineChars="200" w:firstLine="31680"/>
        <w:jc w:val="left"/>
        <w:rPr>
          <w:rFonts w:eastAsia="宋体"/>
          <w:sz w:val="24"/>
          <w:szCs w:val="24"/>
        </w:rPr>
      </w:pPr>
      <w:r>
        <w:rPr>
          <w:rFonts w:eastAsia="宋体"/>
          <w:sz w:val="24"/>
          <w:szCs w:val="24"/>
        </w:rPr>
        <w:t>4.3  GB 18581-2020</w:t>
      </w:r>
      <w:r>
        <w:rPr>
          <w:rFonts w:eastAsia="宋体" w:cs="宋体" w:hint="eastAsia"/>
          <w:sz w:val="24"/>
          <w:szCs w:val="24"/>
        </w:rPr>
        <w:t>《木器涂料中有害物质限量》</w:t>
      </w:r>
    </w:p>
    <w:p w:rsidR="00AA059E" w:rsidRDefault="00AA059E" w:rsidP="008A1CCE">
      <w:pPr>
        <w:spacing w:line="360" w:lineRule="auto"/>
        <w:ind w:firstLineChars="200" w:firstLine="31680"/>
        <w:jc w:val="left"/>
        <w:rPr>
          <w:rFonts w:eastAsia="宋体"/>
          <w:sz w:val="24"/>
          <w:szCs w:val="24"/>
        </w:rPr>
      </w:pPr>
      <w:r>
        <w:rPr>
          <w:rFonts w:eastAsia="宋体"/>
          <w:sz w:val="24"/>
          <w:szCs w:val="24"/>
        </w:rPr>
        <w:t>4.4  GB 18582-2020</w:t>
      </w:r>
      <w:r>
        <w:rPr>
          <w:rFonts w:eastAsia="宋体" w:cs="宋体" w:hint="eastAsia"/>
          <w:sz w:val="24"/>
          <w:szCs w:val="24"/>
        </w:rPr>
        <w:t>《建筑用墙面涂料中有害物质限量》</w:t>
      </w:r>
    </w:p>
    <w:p w:rsidR="00AA059E" w:rsidRDefault="00AA059E" w:rsidP="008A1CCE">
      <w:pPr>
        <w:spacing w:line="360" w:lineRule="auto"/>
        <w:ind w:firstLineChars="200" w:firstLine="31680"/>
        <w:jc w:val="left"/>
        <w:rPr>
          <w:rFonts w:eastAsia="宋体"/>
          <w:sz w:val="24"/>
          <w:szCs w:val="24"/>
        </w:rPr>
      </w:pPr>
      <w:r>
        <w:rPr>
          <w:rFonts w:eastAsia="宋体"/>
          <w:sz w:val="24"/>
          <w:szCs w:val="24"/>
        </w:rPr>
        <w:t>4.5</w:t>
      </w:r>
      <w:r>
        <w:rPr>
          <w:rFonts w:eastAsia="宋体" w:cs="宋体" w:hint="eastAsia"/>
          <w:sz w:val="24"/>
          <w:szCs w:val="24"/>
        </w:rPr>
        <w:t>相关国家标准、行业标准</w:t>
      </w:r>
    </w:p>
    <w:p w:rsidR="00AA059E" w:rsidRDefault="00AA059E" w:rsidP="008A1CCE">
      <w:pPr>
        <w:spacing w:line="360" w:lineRule="auto"/>
        <w:ind w:firstLineChars="200" w:firstLine="31680"/>
        <w:jc w:val="left"/>
        <w:rPr>
          <w:rFonts w:eastAsia="宋体"/>
          <w:sz w:val="24"/>
          <w:szCs w:val="24"/>
        </w:rPr>
      </w:pPr>
      <w:r>
        <w:rPr>
          <w:rFonts w:eastAsia="宋体"/>
          <w:sz w:val="24"/>
          <w:szCs w:val="24"/>
        </w:rPr>
        <w:t>4.6</w:t>
      </w:r>
      <w:r>
        <w:rPr>
          <w:rFonts w:eastAsia="宋体" w:cs="宋体" w:hint="eastAsia"/>
          <w:sz w:val="24"/>
          <w:szCs w:val="24"/>
        </w:rPr>
        <w:t>经备案现行有效的企业标准及产品明示质量指标和要求</w:t>
      </w:r>
    </w:p>
    <w:p w:rsidR="00AA059E" w:rsidRDefault="00AA059E" w:rsidP="008A1CCE">
      <w:pPr>
        <w:spacing w:line="360" w:lineRule="auto"/>
        <w:ind w:firstLineChars="200" w:firstLine="31680"/>
        <w:jc w:val="left"/>
        <w:rPr>
          <w:rFonts w:eastAsia="宋体"/>
          <w:sz w:val="24"/>
          <w:szCs w:val="24"/>
        </w:rPr>
      </w:pPr>
      <w:r>
        <w:rPr>
          <w:rFonts w:eastAsia="宋体"/>
          <w:sz w:val="24"/>
          <w:szCs w:val="24"/>
        </w:rPr>
        <w:t>4.7</w:t>
      </w:r>
      <w:r>
        <w:rPr>
          <w:rFonts w:eastAsia="宋体" w:cs="宋体" w:hint="eastAsia"/>
          <w:sz w:val="24"/>
          <w:szCs w:val="24"/>
        </w:rPr>
        <w:t>凡是不注日期的规范，其最新版本（包括所有的修改单）适用于本规范</w:t>
      </w:r>
    </w:p>
    <w:p w:rsidR="00AA059E" w:rsidRDefault="00AA059E" w:rsidP="007147E7">
      <w:pPr>
        <w:snapToGrid w:val="0"/>
        <w:spacing w:beforeLines="50" w:line="360" w:lineRule="auto"/>
        <w:rPr>
          <w:rFonts w:eastAsia="宋体"/>
          <w:b/>
          <w:bCs/>
          <w:color w:val="000000"/>
          <w:sz w:val="30"/>
          <w:szCs w:val="30"/>
        </w:rPr>
      </w:pPr>
    </w:p>
    <w:p w:rsidR="00AA059E" w:rsidRDefault="00AA059E" w:rsidP="007147E7">
      <w:pPr>
        <w:snapToGrid w:val="0"/>
        <w:spacing w:beforeLines="50" w:line="360" w:lineRule="auto"/>
        <w:rPr>
          <w:rFonts w:eastAsia="宋体"/>
          <w:b/>
          <w:bCs/>
          <w:color w:val="000000"/>
          <w:sz w:val="30"/>
          <w:szCs w:val="30"/>
        </w:rPr>
      </w:pPr>
      <w:r>
        <w:rPr>
          <w:rFonts w:eastAsia="宋体"/>
          <w:b/>
          <w:bCs/>
          <w:color w:val="000000"/>
          <w:sz w:val="30"/>
          <w:szCs w:val="30"/>
        </w:rPr>
        <w:t xml:space="preserve">5 </w:t>
      </w:r>
      <w:r>
        <w:rPr>
          <w:rFonts w:eastAsia="宋体" w:cs="宋体" w:hint="eastAsia"/>
          <w:b/>
          <w:bCs/>
          <w:color w:val="000000"/>
          <w:sz w:val="30"/>
          <w:szCs w:val="30"/>
        </w:rPr>
        <w:t>检验项目及重要程度分类</w:t>
      </w:r>
    </w:p>
    <w:p w:rsidR="00AA059E" w:rsidRDefault="00AA059E" w:rsidP="008A1CCE">
      <w:pPr>
        <w:spacing w:line="360" w:lineRule="auto"/>
        <w:ind w:firstLineChars="200" w:firstLine="31680"/>
        <w:jc w:val="left"/>
        <w:rPr>
          <w:rFonts w:eastAsia="宋体"/>
          <w:color w:val="000000"/>
          <w:sz w:val="24"/>
          <w:szCs w:val="24"/>
        </w:rPr>
      </w:pPr>
      <w:r>
        <w:rPr>
          <w:rFonts w:eastAsia="宋体"/>
          <w:color w:val="000000"/>
          <w:sz w:val="24"/>
          <w:szCs w:val="24"/>
        </w:rPr>
        <w:t xml:space="preserve">5.1  </w:t>
      </w:r>
      <w:r>
        <w:rPr>
          <w:rFonts w:eastAsia="宋体" w:cs="宋体" w:hint="eastAsia"/>
          <w:color w:val="000000"/>
          <w:sz w:val="24"/>
          <w:szCs w:val="24"/>
        </w:rPr>
        <w:t>检验项目及重要程度分类。</w:t>
      </w:r>
    </w:p>
    <w:p w:rsidR="00AA059E" w:rsidRDefault="00AA059E" w:rsidP="007147E7">
      <w:pPr>
        <w:spacing w:beforeLines="50" w:line="360" w:lineRule="auto"/>
        <w:jc w:val="center"/>
        <w:rPr>
          <w:rFonts w:eastAsia="宋体"/>
          <w:sz w:val="24"/>
          <w:szCs w:val="24"/>
        </w:rPr>
      </w:pPr>
      <w:r>
        <w:rPr>
          <w:rFonts w:eastAsia="宋体" w:cs="宋体" w:hint="eastAsia"/>
          <w:sz w:val="24"/>
          <w:szCs w:val="24"/>
        </w:rPr>
        <w:t>表</w:t>
      </w:r>
      <w:r>
        <w:rPr>
          <w:rFonts w:eastAsia="宋体"/>
          <w:sz w:val="24"/>
          <w:szCs w:val="24"/>
        </w:rPr>
        <w:t xml:space="preserve">1 </w:t>
      </w:r>
      <w:r>
        <w:rPr>
          <w:rFonts w:eastAsia="宋体" w:cs="宋体" w:hint="eastAsia"/>
          <w:sz w:val="24"/>
          <w:szCs w:val="24"/>
        </w:rPr>
        <w:t>溶剂型木器涂料</w:t>
      </w:r>
      <w:r>
        <w:rPr>
          <w:rFonts w:eastAsia="宋体" w:cs="宋体" w:hint="eastAsia"/>
          <w:color w:val="000000"/>
          <w:sz w:val="24"/>
          <w:szCs w:val="24"/>
        </w:rPr>
        <w:t>检验项目及重要程度分类</w:t>
      </w:r>
    </w:p>
    <w:tbl>
      <w:tblPr>
        <w:tblW w:w="900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03"/>
        <w:gridCol w:w="2876"/>
        <w:gridCol w:w="2806"/>
        <w:gridCol w:w="1278"/>
        <w:gridCol w:w="1240"/>
      </w:tblGrid>
      <w:tr w:rsidR="00AA059E">
        <w:trPr>
          <w:cantSplit/>
          <w:trHeight w:val="397"/>
        </w:trPr>
        <w:tc>
          <w:tcPr>
            <w:tcW w:w="803" w:type="dxa"/>
            <w:vMerge w:val="restart"/>
            <w:noWrap/>
            <w:vAlign w:val="center"/>
          </w:tcPr>
          <w:p w:rsidR="00AA059E" w:rsidRDefault="00AA059E">
            <w:pPr>
              <w:snapToGrid w:val="0"/>
              <w:jc w:val="center"/>
              <w:rPr>
                <w:rFonts w:eastAsia="宋体"/>
                <w:b/>
                <w:bCs/>
                <w:sz w:val="24"/>
                <w:szCs w:val="24"/>
              </w:rPr>
            </w:pPr>
            <w:r>
              <w:rPr>
                <w:rFonts w:eastAsia="宋体" w:cs="宋体" w:hint="eastAsia"/>
                <w:b/>
                <w:bCs/>
                <w:sz w:val="24"/>
                <w:szCs w:val="24"/>
              </w:rPr>
              <w:t>序号</w:t>
            </w:r>
          </w:p>
        </w:tc>
        <w:tc>
          <w:tcPr>
            <w:tcW w:w="2876" w:type="dxa"/>
            <w:vMerge w:val="restart"/>
            <w:noWrap/>
            <w:vAlign w:val="center"/>
          </w:tcPr>
          <w:p w:rsidR="00AA059E" w:rsidRDefault="00AA059E">
            <w:pPr>
              <w:snapToGrid w:val="0"/>
              <w:jc w:val="center"/>
              <w:rPr>
                <w:rFonts w:eastAsia="宋体"/>
                <w:b/>
                <w:bCs/>
                <w:sz w:val="24"/>
                <w:szCs w:val="24"/>
              </w:rPr>
            </w:pPr>
            <w:r>
              <w:rPr>
                <w:rFonts w:eastAsia="宋体" w:cs="宋体" w:hint="eastAsia"/>
                <w:b/>
                <w:bCs/>
                <w:sz w:val="24"/>
                <w:szCs w:val="24"/>
              </w:rPr>
              <w:t>检验项目</w:t>
            </w:r>
          </w:p>
        </w:tc>
        <w:tc>
          <w:tcPr>
            <w:tcW w:w="2806" w:type="dxa"/>
            <w:vMerge w:val="restart"/>
            <w:noWrap/>
            <w:vAlign w:val="center"/>
          </w:tcPr>
          <w:p w:rsidR="00AA059E" w:rsidRDefault="00AA059E">
            <w:pPr>
              <w:snapToGrid w:val="0"/>
              <w:jc w:val="center"/>
              <w:rPr>
                <w:rFonts w:eastAsia="宋体"/>
                <w:b/>
                <w:bCs/>
                <w:sz w:val="24"/>
                <w:szCs w:val="24"/>
              </w:rPr>
            </w:pPr>
            <w:r>
              <w:rPr>
                <w:rFonts w:eastAsia="宋体" w:cs="宋体" w:hint="eastAsia"/>
                <w:b/>
                <w:bCs/>
                <w:sz w:val="24"/>
                <w:szCs w:val="24"/>
              </w:rPr>
              <w:t>依据法律法规或标准</w:t>
            </w:r>
          </w:p>
        </w:tc>
        <w:tc>
          <w:tcPr>
            <w:tcW w:w="2518" w:type="dxa"/>
            <w:gridSpan w:val="2"/>
            <w:noWrap/>
            <w:vAlign w:val="center"/>
          </w:tcPr>
          <w:p w:rsidR="00AA059E" w:rsidRDefault="00AA059E">
            <w:pPr>
              <w:snapToGrid w:val="0"/>
              <w:jc w:val="center"/>
              <w:rPr>
                <w:rFonts w:eastAsia="宋体"/>
                <w:b/>
                <w:bCs/>
                <w:sz w:val="24"/>
                <w:szCs w:val="24"/>
              </w:rPr>
            </w:pPr>
            <w:r>
              <w:rPr>
                <w:rFonts w:eastAsia="宋体" w:cs="宋体" w:hint="eastAsia"/>
                <w:b/>
                <w:bCs/>
                <w:sz w:val="24"/>
                <w:szCs w:val="24"/>
              </w:rPr>
              <w:t>重要程度分类</w:t>
            </w:r>
          </w:p>
        </w:tc>
      </w:tr>
      <w:tr w:rsidR="00AA059E">
        <w:trPr>
          <w:cantSplit/>
          <w:trHeight w:val="397"/>
        </w:trPr>
        <w:tc>
          <w:tcPr>
            <w:tcW w:w="803" w:type="dxa"/>
            <w:vMerge/>
            <w:noWrap/>
            <w:vAlign w:val="center"/>
          </w:tcPr>
          <w:p w:rsidR="00AA059E" w:rsidRDefault="00AA059E">
            <w:pPr>
              <w:snapToGrid w:val="0"/>
              <w:jc w:val="center"/>
              <w:rPr>
                <w:rFonts w:eastAsia="宋体"/>
                <w:b/>
                <w:bCs/>
                <w:sz w:val="24"/>
                <w:szCs w:val="24"/>
              </w:rPr>
            </w:pPr>
          </w:p>
        </w:tc>
        <w:tc>
          <w:tcPr>
            <w:tcW w:w="2876" w:type="dxa"/>
            <w:vMerge/>
            <w:noWrap/>
            <w:vAlign w:val="center"/>
          </w:tcPr>
          <w:p w:rsidR="00AA059E" w:rsidRDefault="00AA059E">
            <w:pPr>
              <w:snapToGrid w:val="0"/>
              <w:jc w:val="center"/>
              <w:rPr>
                <w:rFonts w:eastAsia="宋体"/>
                <w:b/>
                <w:bCs/>
                <w:sz w:val="24"/>
                <w:szCs w:val="24"/>
              </w:rPr>
            </w:pPr>
          </w:p>
        </w:tc>
        <w:tc>
          <w:tcPr>
            <w:tcW w:w="2806" w:type="dxa"/>
            <w:vMerge/>
            <w:noWrap/>
            <w:vAlign w:val="center"/>
          </w:tcPr>
          <w:p w:rsidR="00AA059E" w:rsidRDefault="00AA059E">
            <w:pPr>
              <w:snapToGrid w:val="0"/>
              <w:jc w:val="center"/>
              <w:rPr>
                <w:rFonts w:eastAsia="宋体"/>
                <w:b/>
                <w:bCs/>
                <w:sz w:val="24"/>
                <w:szCs w:val="24"/>
              </w:rPr>
            </w:pPr>
          </w:p>
        </w:tc>
        <w:tc>
          <w:tcPr>
            <w:tcW w:w="1278" w:type="dxa"/>
            <w:noWrap/>
            <w:vAlign w:val="center"/>
          </w:tcPr>
          <w:p w:rsidR="00AA059E" w:rsidRDefault="00AA059E">
            <w:pPr>
              <w:widowControl/>
              <w:jc w:val="center"/>
              <w:rPr>
                <w:rFonts w:eastAsia="宋体"/>
                <w:b/>
                <w:bCs/>
                <w:color w:val="000000"/>
                <w:kern w:val="0"/>
                <w:sz w:val="24"/>
                <w:szCs w:val="24"/>
              </w:rPr>
            </w:pPr>
            <w:r>
              <w:rPr>
                <w:rFonts w:eastAsia="宋体"/>
                <w:b/>
                <w:bCs/>
                <w:color w:val="000000"/>
                <w:kern w:val="0"/>
                <w:sz w:val="24"/>
                <w:szCs w:val="24"/>
              </w:rPr>
              <w:t>A</w:t>
            </w:r>
            <w:r>
              <w:rPr>
                <w:rFonts w:eastAsia="宋体" w:cs="宋体" w:hint="eastAsia"/>
                <w:b/>
                <w:bCs/>
                <w:color w:val="000000"/>
                <w:kern w:val="0"/>
                <w:sz w:val="24"/>
                <w:szCs w:val="24"/>
              </w:rPr>
              <w:t>类</w:t>
            </w:r>
            <w:r>
              <w:rPr>
                <w:rFonts w:eastAsia="宋体"/>
                <w:b/>
                <w:bCs/>
                <w:color w:val="000000"/>
                <w:kern w:val="0"/>
                <w:sz w:val="24"/>
                <w:szCs w:val="24"/>
                <w:vertAlign w:val="superscript"/>
              </w:rPr>
              <w:t>a</w:t>
            </w:r>
          </w:p>
        </w:tc>
        <w:tc>
          <w:tcPr>
            <w:tcW w:w="1240" w:type="dxa"/>
            <w:noWrap/>
            <w:vAlign w:val="center"/>
          </w:tcPr>
          <w:p w:rsidR="00AA059E" w:rsidRDefault="00AA059E">
            <w:pPr>
              <w:widowControl/>
              <w:jc w:val="center"/>
              <w:rPr>
                <w:rFonts w:eastAsia="宋体"/>
                <w:b/>
                <w:bCs/>
                <w:color w:val="000000"/>
                <w:kern w:val="0"/>
                <w:sz w:val="24"/>
                <w:szCs w:val="24"/>
              </w:rPr>
            </w:pPr>
            <w:r>
              <w:rPr>
                <w:rFonts w:eastAsia="宋体"/>
                <w:b/>
                <w:bCs/>
                <w:color w:val="000000"/>
                <w:kern w:val="0"/>
                <w:sz w:val="24"/>
                <w:szCs w:val="24"/>
              </w:rPr>
              <w:t>B</w:t>
            </w:r>
            <w:r>
              <w:rPr>
                <w:rFonts w:eastAsia="宋体" w:cs="宋体" w:hint="eastAsia"/>
                <w:b/>
                <w:bCs/>
                <w:color w:val="000000"/>
                <w:kern w:val="0"/>
                <w:sz w:val="24"/>
                <w:szCs w:val="24"/>
              </w:rPr>
              <w:t>类</w:t>
            </w:r>
            <w:r>
              <w:rPr>
                <w:rFonts w:eastAsia="宋体"/>
                <w:b/>
                <w:bCs/>
                <w:color w:val="000000"/>
                <w:kern w:val="0"/>
                <w:sz w:val="24"/>
                <w:szCs w:val="24"/>
                <w:vertAlign w:val="superscript"/>
              </w:rPr>
              <w:t>b</w:t>
            </w:r>
          </w:p>
        </w:tc>
      </w:tr>
      <w:tr w:rsidR="00AA059E">
        <w:trPr>
          <w:cantSplit/>
          <w:trHeight w:val="397"/>
        </w:trPr>
        <w:tc>
          <w:tcPr>
            <w:tcW w:w="803" w:type="dxa"/>
            <w:noWrap/>
            <w:vAlign w:val="center"/>
          </w:tcPr>
          <w:p w:rsidR="00AA059E" w:rsidRDefault="00AA059E">
            <w:pPr>
              <w:jc w:val="center"/>
              <w:rPr>
                <w:rFonts w:eastAsia="宋体"/>
                <w:sz w:val="24"/>
                <w:szCs w:val="24"/>
              </w:rPr>
            </w:pPr>
            <w:r>
              <w:rPr>
                <w:rFonts w:eastAsia="宋体"/>
                <w:sz w:val="24"/>
                <w:szCs w:val="24"/>
              </w:rPr>
              <w:t>1</w:t>
            </w:r>
          </w:p>
        </w:tc>
        <w:tc>
          <w:tcPr>
            <w:tcW w:w="2876" w:type="dxa"/>
            <w:noWrap/>
            <w:vAlign w:val="center"/>
          </w:tcPr>
          <w:p w:rsidR="00AA059E" w:rsidRDefault="00AA059E">
            <w:pPr>
              <w:jc w:val="center"/>
              <w:rPr>
                <w:rFonts w:eastAsia="宋体"/>
                <w:sz w:val="24"/>
                <w:szCs w:val="24"/>
              </w:rPr>
            </w:pPr>
            <w:r>
              <w:rPr>
                <w:rFonts w:eastAsia="宋体" w:cs="宋体" w:hint="eastAsia"/>
                <w:sz w:val="24"/>
                <w:szCs w:val="24"/>
              </w:rPr>
              <w:t>甲苯与二甲苯（含乙苯）总和含量</w:t>
            </w:r>
          </w:p>
        </w:tc>
        <w:tc>
          <w:tcPr>
            <w:tcW w:w="2806" w:type="dxa"/>
            <w:noWrap/>
            <w:vAlign w:val="center"/>
          </w:tcPr>
          <w:p w:rsidR="00AA059E" w:rsidRDefault="00AA059E">
            <w:pPr>
              <w:jc w:val="center"/>
              <w:rPr>
                <w:rFonts w:eastAsia="宋体"/>
                <w:sz w:val="24"/>
                <w:szCs w:val="24"/>
              </w:rPr>
            </w:pPr>
            <w:r>
              <w:rPr>
                <w:rFonts w:eastAsia="宋体"/>
                <w:sz w:val="24"/>
                <w:szCs w:val="24"/>
              </w:rPr>
              <w:t>GB 18581-2020</w:t>
            </w:r>
            <w:r>
              <w:rPr>
                <w:rFonts w:eastAsia="宋体" w:cs="宋体" w:hint="eastAsia"/>
                <w:sz w:val="24"/>
                <w:szCs w:val="24"/>
              </w:rPr>
              <w:t>《木器涂料中有害物质限量》</w:t>
            </w:r>
          </w:p>
          <w:p w:rsidR="00AA059E" w:rsidRDefault="00AA059E">
            <w:pPr>
              <w:jc w:val="center"/>
              <w:rPr>
                <w:rFonts w:eastAsia="宋体"/>
                <w:sz w:val="24"/>
                <w:szCs w:val="24"/>
              </w:rPr>
            </w:pPr>
          </w:p>
        </w:tc>
        <w:tc>
          <w:tcPr>
            <w:tcW w:w="1278" w:type="dxa"/>
            <w:noWrap/>
            <w:vAlign w:val="center"/>
          </w:tcPr>
          <w:p w:rsidR="00AA059E" w:rsidRDefault="00AA059E">
            <w:pPr>
              <w:jc w:val="center"/>
              <w:rPr>
                <w:rFonts w:eastAsia="宋体"/>
                <w:sz w:val="24"/>
                <w:szCs w:val="24"/>
              </w:rPr>
            </w:pPr>
            <w:r>
              <w:rPr>
                <w:rFonts w:eastAsia="宋体"/>
                <w:sz w:val="24"/>
                <w:szCs w:val="24"/>
              </w:rPr>
              <w:t>●</w:t>
            </w:r>
          </w:p>
        </w:tc>
        <w:tc>
          <w:tcPr>
            <w:tcW w:w="1240" w:type="dxa"/>
            <w:noWrap/>
            <w:vAlign w:val="center"/>
          </w:tcPr>
          <w:p w:rsidR="00AA059E" w:rsidRDefault="00AA059E">
            <w:pPr>
              <w:jc w:val="center"/>
              <w:rPr>
                <w:rFonts w:eastAsia="宋体"/>
                <w:sz w:val="24"/>
                <w:szCs w:val="24"/>
              </w:rPr>
            </w:pPr>
          </w:p>
        </w:tc>
      </w:tr>
      <w:tr w:rsidR="00AA059E">
        <w:trPr>
          <w:cantSplit/>
          <w:trHeight w:val="397"/>
        </w:trPr>
        <w:tc>
          <w:tcPr>
            <w:tcW w:w="9003" w:type="dxa"/>
            <w:gridSpan w:val="5"/>
            <w:noWrap/>
            <w:vAlign w:val="center"/>
          </w:tcPr>
          <w:p w:rsidR="00AA059E" w:rsidRDefault="00AA059E">
            <w:pPr>
              <w:spacing w:line="360" w:lineRule="auto"/>
              <w:rPr>
                <w:rFonts w:eastAsia="宋体"/>
                <w:color w:val="000000"/>
                <w:sz w:val="24"/>
                <w:szCs w:val="24"/>
              </w:rPr>
            </w:pPr>
            <w:r>
              <w:rPr>
                <w:rFonts w:eastAsia="宋体" w:cs="宋体" w:hint="eastAsia"/>
                <w:color w:val="000000"/>
                <w:sz w:val="24"/>
                <w:szCs w:val="24"/>
              </w:rPr>
              <w:t>注：</w:t>
            </w:r>
            <w:r>
              <w:rPr>
                <w:rFonts w:eastAsia="宋体"/>
                <w:color w:val="000000"/>
                <w:sz w:val="24"/>
                <w:szCs w:val="24"/>
                <w:vertAlign w:val="superscript"/>
              </w:rPr>
              <w:t>a</w:t>
            </w:r>
            <w:r>
              <w:rPr>
                <w:rFonts w:eastAsia="宋体" w:cs="宋体" w:hint="eastAsia"/>
                <w:color w:val="000000"/>
                <w:sz w:val="24"/>
                <w:szCs w:val="24"/>
              </w:rPr>
              <w:t>极重要项目；</w:t>
            </w:r>
            <w:r>
              <w:rPr>
                <w:rFonts w:eastAsia="宋体"/>
                <w:color w:val="000000"/>
                <w:sz w:val="24"/>
                <w:szCs w:val="24"/>
                <w:vertAlign w:val="superscript"/>
              </w:rPr>
              <w:t>b</w:t>
            </w:r>
            <w:r>
              <w:rPr>
                <w:rFonts w:eastAsia="宋体" w:cs="宋体" w:hint="eastAsia"/>
                <w:color w:val="000000"/>
                <w:sz w:val="24"/>
                <w:szCs w:val="24"/>
              </w:rPr>
              <w:t>重要项目。</w:t>
            </w:r>
          </w:p>
        </w:tc>
      </w:tr>
    </w:tbl>
    <w:p w:rsidR="00AA059E" w:rsidRDefault="00AA059E" w:rsidP="007147E7">
      <w:pPr>
        <w:spacing w:beforeLines="50" w:line="360" w:lineRule="auto"/>
        <w:jc w:val="center"/>
        <w:rPr>
          <w:rFonts w:eastAsia="宋体"/>
          <w:sz w:val="24"/>
          <w:szCs w:val="24"/>
        </w:rPr>
      </w:pPr>
      <w:r>
        <w:rPr>
          <w:rFonts w:eastAsia="宋体" w:cs="宋体" w:hint="eastAsia"/>
          <w:sz w:val="24"/>
          <w:szCs w:val="24"/>
        </w:rPr>
        <w:t>表</w:t>
      </w:r>
      <w:r>
        <w:rPr>
          <w:rFonts w:eastAsia="宋体"/>
          <w:sz w:val="24"/>
          <w:szCs w:val="24"/>
        </w:rPr>
        <w:t xml:space="preserve">2 </w:t>
      </w:r>
      <w:r>
        <w:rPr>
          <w:rFonts w:eastAsia="宋体" w:cs="宋体" w:hint="eastAsia"/>
          <w:sz w:val="24"/>
          <w:szCs w:val="24"/>
        </w:rPr>
        <w:t>合成树脂乳液内墙涂料（水性、面漆）检验项目及重要程度分类</w:t>
      </w:r>
    </w:p>
    <w:tbl>
      <w:tblPr>
        <w:tblW w:w="900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2"/>
        <w:gridCol w:w="2757"/>
        <w:gridCol w:w="2976"/>
        <w:gridCol w:w="1259"/>
        <w:gridCol w:w="1259"/>
      </w:tblGrid>
      <w:tr w:rsidR="00AA059E">
        <w:trPr>
          <w:cantSplit/>
          <w:trHeight w:val="397"/>
        </w:trPr>
        <w:tc>
          <w:tcPr>
            <w:tcW w:w="752" w:type="dxa"/>
            <w:vMerge w:val="restart"/>
            <w:noWrap/>
            <w:vAlign w:val="center"/>
          </w:tcPr>
          <w:p w:rsidR="00AA059E" w:rsidRDefault="00AA059E">
            <w:pPr>
              <w:snapToGrid w:val="0"/>
              <w:jc w:val="center"/>
              <w:rPr>
                <w:rFonts w:eastAsia="宋体"/>
                <w:b/>
                <w:bCs/>
                <w:sz w:val="24"/>
                <w:szCs w:val="24"/>
              </w:rPr>
            </w:pPr>
            <w:r>
              <w:rPr>
                <w:rFonts w:eastAsia="宋体" w:cs="宋体" w:hint="eastAsia"/>
                <w:b/>
                <w:bCs/>
                <w:sz w:val="24"/>
                <w:szCs w:val="24"/>
              </w:rPr>
              <w:t>序号</w:t>
            </w:r>
          </w:p>
        </w:tc>
        <w:tc>
          <w:tcPr>
            <w:tcW w:w="2757" w:type="dxa"/>
            <w:vMerge w:val="restart"/>
            <w:noWrap/>
            <w:vAlign w:val="center"/>
          </w:tcPr>
          <w:p w:rsidR="00AA059E" w:rsidRDefault="00AA059E">
            <w:pPr>
              <w:snapToGrid w:val="0"/>
              <w:jc w:val="center"/>
              <w:rPr>
                <w:rFonts w:eastAsia="宋体"/>
                <w:b/>
                <w:bCs/>
                <w:sz w:val="24"/>
                <w:szCs w:val="24"/>
              </w:rPr>
            </w:pPr>
            <w:r>
              <w:rPr>
                <w:rFonts w:eastAsia="宋体" w:cs="宋体" w:hint="eastAsia"/>
                <w:b/>
                <w:bCs/>
                <w:sz w:val="24"/>
                <w:szCs w:val="24"/>
              </w:rPr>
              <w:t>检验项目</w:t>
            </w:r>
          </w:p>
        </w:tc>
        <w:tc>
          <w:tcPr>
            <w:tcW w:w="2976" w:type="dxa"/>
            <w:vMerge w:val="restart"/>
            <w:noWrap/>
            <w:vAlign w:val="center"/>
          </w:tcPr>
          <w:p w:rsidR="00AA059E" w:rsidRDefault="00AA059E">
            <w:pPr>
              <w:snapToGrid w:val="0"/>
              <w:jc w:val="center"/>
              <w:rPr>
                <w:rFonts w:eastAsia="宋体"/>
                <w:b/>
                <w:bCs/>
                <w:sz w:val="24"/>
                <w:szCs w:val="24"/>
              </w:rPr>
            </w:pPr>
            <w:r>
              <w:rPr>
                <w:rFonts w:eastAsia="宋体" w:cs="宋体" w:hint="eastAsia"/>
                <w:b/>
                <w:bCs/>
                <w:sz w:val="24"/>
                <w:szCs w:val="24"/>
              </w:rPr>
              <w:t>依据法律法规或标准</w:t>
            </w:r>
          </w:p>
        </w:tc>
        <w:tc>
          <w:tcPr>
            <w:tcW w:w="2518" w:type="dxa"/>
            <w:gridSpan w:val="2"/>
            <w:noWrap/>
            <w:vAlign w:val="center"/>
          </w:tcPr>
          <w:p w:rsidR="00AA059E" w:rsidRDefault="00AA059E">
            <w:pPr>
              <w:snapToGrid w:val="0"/>
              <w:jc w:val="center"/>
              <w:rPr>
                <w:rFonts w:eastAsia="宋体"/>
                <w:b/>
                <w:bCs/>
                <w:sz w:val="24"/>
                <w:szCs w:val="24"/>
              </w:rPr>
            </w:pPr>
            <w:r>
              <w:rPr>
                <w:rFonts w:eastAsia="宋体" w:cs="宋体" w:hint="eastAsia"/>
                <w:b/>
                <w:bCs/>
                <w:sz w:val="24"/>
                <w:szCs w:val="24"/>
              </w:rPr>
              <w:t>重要程度分类</w:t>
            </w:r>
          </w:p>
        </w:tc>
      </w:tr>
      <w:tr w:rsidR="00AA059E">
        <w:trPr>
          <w:cantSplit/>
          <w:trHeight w:val="397"/>
        </w:trPr>
        <w:tc>
          <w:tcPr>
            <w:tcW w:w="752" w:type="dxa"/>
            <w:vMerge/>
            <w:noWrap/>
            <w:vAlign w:val="center"/>
          </w:tcPr>
          <w:p w:rsidR="00AA059E" w:rsidRDefault="00AA059E">
            <w:pPr>
              <w:snapToGrid w:val="0"/>
              <w:jc w:val="center"/>
              <w:rPr>
                <w:rFonts w:eastAsia="宋体"/>
                <w:b/>
                <w:bCs/>
                <w:sz w:val="24"/>
                <w:szCs w:val="24"/>
              </w:rPr>
            </w:pPr>
          </w:p>
        </w:tc>
        <w:tc>
          <w:tcPr>
            <w:tcW w:w="2757" w:type="dxa"/>
            <w:vMerge/>
            <w:noWrap/>
            <w:vAlign w:val="center"/>
          </w:tcPr>
          <w:p w:rsidR="00AA059E" w:rsidRDefault="00AA059E">
            <w:pPr>
              <w:snapToGrid w:val="0"/>
              <w:jc w:val="center"/>
              <w:rPr>
                <w:rFonts w:eastAsia="宋体"/>
                <w:b/>
                <w:bCs/>
                <w:sz w:val="24"/>
                <w:szCs w:val="24"/>
              </w:rPr>
            </w:pPr>
          </w:p>
        </w:tc>
        <w:tc>
          <w:tcPr>
            <w:tcW w:w="2976" w:type="dxa"/>
            <w:vMerge/>
            <w:noWrap/>
            <w:vAlign w:val="center"/>
          </w:tcPr>
          <w:p w:rsidR="00AA059E" w:rsidRDefault="00AA059E">
            <w:pPr>
              <w:snapToGrid w:val="0"/>
              <w:jc w:val="center"/>
              <w:rPr>
                <w:rFonts w:eastAsia="宋体"/>
                <w:b/>
                <w:bCs/>
                <w:sz w:val="24"/>
                <w:szCs w:val="24"/>
              </w:rPr>
            </w:pPr>
          </w:p>
        </w:tc>
        <w:tc>
          <w:tcPr>
            <w:tcW w:w="1259" w:type="dxa"/>
            <w:noWrap/>
            <w:vAlign w:val="center"/>
          </w:tcPr>
          <w:p w:rsidR="00AA059E" w:rsidRDefault="00AA059E">
            <w:pPr>
              <w:widowControl/>
              <w:jc w:val="center"/>
              <w:rPr>
                <w:rFonts w:eastAsia="宋体"/>
                <w:b/>
                <w:bCs/>
                <w:color w:val="000000"/>
                <w:kern w:val="0"/>
                <w:sz w:val="24"/>
                <w:szCs w:val="24"/>
              </w:rPr>
            </w:pPr>
            <w:r>
              <w:rPr>
                <w:rFonts w:eastAsia="宋体"/>
                <w:b/>
                <w:bCs/>
                <w:color w:val="000000"/>
                <w:kern w:val="0"/>
                <w:sz w:val="24"/>
                <w:szCs w:val="24"/>
              </w:rPr>
              <w:t>A</w:t>
            </w:r>
            <w:r>
              <w:rPr>
                <w:rFonts w:eastAsia="宋体" w:cs="宋体" w:hint="eastAsia"/>
                <w:b/>
                <w:bCs/>
                <w:color w:val="000000"/>
                <w:kern w:val="0"/>
                <w:sz w:val="24"/>
                <w:szCs w:val="24"/>
              </w:rPr>
              <w:t>类</w:t>
            </w:r>
            <w:r>
              <w:rPr>
                <w:rFonts w:eastAsia="宋体"/>
                <w:b/>
                <w:bCs/>
                <w:color w:val="000000"/>
                <w:kern w:val="0"/>
                <w:sz w:val="24"/>
                <w:szCs w:val="24"/>
                <w:vertAlign w:val="superscript"/>
              </w:rPr>
              <w:t>a</w:t>
            </w:r>
          </w:p>
        </w:tc>
        <w:tc>
          <w:tcPr>
            <w:tcW w:w="1259" w:type="dxa"/>
            <w:noWrap/>
            <w:vAlign w:val="center"/>
          </w:tcPr>
          <w:p w:rsidR="00AA059E" w:rsidRDefault="00AA059E">
            <w:pPr>
              <w:widowControl/>
              <w:jc w:val="center"/>
              <w:rPr>
                <w:rFonts w:eastAsia="宋体"/>
                <w:b/>
                <w:bCs/>
                <w:color w:val="000000"/>
                <w:kern w:val="0"/>
                <w:sz w:val="24"/>
                <w:szCs w:val="24"/>
              </w:rPr>
            </w:pPr>
            <w:r>
              <w:rPr>
                <w:rFonts w:eastAsia="宋体"/>
                <w:b/>
                <w:bCs/>
                <w:color w:val="000000"/>
                <w:kern w:val="0"/>
                <w:sz w:val="24"/>
                <w:szCs w:val="24"/>
              </w:rPr>
              <w:t>B</w:t>
            </w:r>
            <w:r>
              <w:rPr>
                <w:rFonts w:eastAsia="宋体" w:cs="宋体" w:hint="eastAsia"/>
                <w:b/>
                <w:bCs/>
                <w:color w:val="000000"/>
                <w:kern w:val="0"/>
                <w:sz w:val="24"/>
                <w:szCs w:val="24"/>
              </w:rPr>
              <w:t>类</w:t>
            </w:r>
            <w:r>
              <w:rPr>
                <w:rFonts w:eastAsia="宋体"/>
                <w:b/>
                <w:bCs/>
                <w:color w:val="000000"/>
                <w:kern w:val="0"/>
                <w:sz w:val="24"/>
                <w:szCs w:val="24"/>
                <w:vertAlign w:val="superscript"/>
              </w:rPr>
              <w:t>b</w:t>
            </w:r>
          </w:p>
        </w:tc>
      </w:tr>
      <w:tr w:rsidR="00AA059E">
        <w:trPr>
          <w:cantSplit/>
          <w:trHeight w:val="397"/>
        </w:trPr>
        <w:tc>
          <w:tcPr>
            <w:tcW w:w="752" w:type="dxa"/>
            <w:noWrap/>
            <w:vAlign w:val="center"/>
          </w:tcPr>
          <w:p w:rsidR="00AA059E" w:rsidRDefault="00AA059E">
            <w:pPr>
              <w:jc w:val="center"/>
              <w:rPr>
                <w:rFonts w:eastAsia="宋体"/>
                <w:sz w:val="24"/>
                <w:szCs w:val="24"/>
              </w:rPr>
            </w:pPr>
            <w:r>
              <w:rPr>
                <w:rFonts w:eastAsia="宋体"/>
                <w:sz w:val="24"/>
                <w:szCs w:val="24"/>
              </w:rPr>
              <w:t>1</w:t>
            </w:r>
          </w:p>
        </w:tc>
        <w:tc>
          <w:tcPr>
            <w:tcW w:w="2757" w:type="dxa"/>
            <w:noWrap/>
            <w:vAlign w:val="center"/>
          </w:tcPr>
          <w:p w:rsidR="00AA059E" w:rsidRDefault="00AA059E">
            <w:pPr>
              <w:jc w:val="center"/>
              <w:rPr>
                <w:rFonts w:eastAsia="宋体"/>
                <w:sz w:val="24"/>
                <w:szCs w:val="24"/>
              </w:rPr>
            </w:pPr>
            <w:r>
              <w:rPr>
                <w:rFonts w:eastAsia="宋体" w:cs="宋体" w:hint="eastAsia"/>
                <w:sz w:val="24"/>
                <w:szCs w:val="24"/>
              </w:rPr>
              <w:t>总铅含量（限色漆）</w:t>
            </w:r>
          </w:p>
        </w:tc>
        <w:tc>
          <w:tcPr>
            <w:tcW w:w="2976" w:type="dxa"/>
            <w:vMerge w:val="restart"/>
            <w:noWrap/>
            <w:vAlign w:val="center"/>
          </w:tcPr>
          <w:p w:rsidR="00AA059E" w:rsidRDefault="00AA059E">
            <w:pPr>
              <w:pStyle w:val="Heading3"/>
              <w:shd w:val="clear" w:color="auto" w:fill="FFFFFF"/>
              <w:rPr>
                <w:rFonts w:ascii="Times New Roman" w:hAnsi="Times New Roman" w:cs="Times New Roman"/>
                <w:b w:val="0"/>
                <w:bCs w:val="0"/>
                <w:kern w:val="2"/>
                <w:sz w:val="24"/>
                <w:szCs w:val="24"/>
              </w:rPr>
            </w:pPr>
            <w:r>
              <w:rPr>
                <w:rFonts w:ascii="Times New Roman" w:hAnsi="Times New Roman" w:cs="Times New Roman"/>
                <w:b w:val="0"/>
                <w:bCs w:val="0"/>
                <w:kern w:val="2"/>
                <w:sz w:val="24"/>
                <w:szCs w:val="24"/>
              </w:rPr>
              <w:t>GB 18582-2020</w:t>
            </w:r>
            <w:r>
              <w:rPr>
                <w:rFonts w:ascii="Times New Roman" w:hAnsi="Times New Roman" w:hint="eastAsia"/>
                <w:b w:val="0"/>
                <w:bCs w:val="0"/>
                <w:kern w:val="2"/>
                <w:sz w:val="24"/>
                <w:szCs w:val="24"/>
              </w:rPr>
              <w:t>《建筑用墙面涂料中有害物质限量》</w:t>
            </w:r>
          </w:p>
        </w:tc>
        <w:tc>
          <w:tcPr>
            <w:tcW w:w="1259" w:type="dxa"/>
            <w:noWrap/>
            <w:vAlign w:val="center"/>
          </w:tcPr>
          <w:p w:rsidR="00AA059E" w:rsidRDefault="00AA059E">
            <w:pPr>
              <w:jc w:val="center"/>
              <w:rPr>
                <w:rFonts w:eastAsia="宋体"/>
                <w:sz w:val="24"/>
                <w:szCs w:val="24"/>
              </w:rPr>
            </w:pPr>
            <w:r>
              <w:rPr>
                <w:rFonts w:eastAsia="宋体"/>
                <w:sz w:val="24"/>
                <w:szCs w:val="24"/>
              </w:rPr>
              <w:t>●</w:t>
            </w:r>
          </w:p>
        </w:tc>
        <w:tc>
          <w:tcPr>
            <w:tcW w:w="1259" w:type="dxa"/>
            <w:noWrap/>
            <w:vAlign w:val="center"/>
          </w:tcPr>
          <w:p w:rsidR="00AA059E" w:rsidRDefault="00AA059E">
            <w:pPr>
              <w:jc w:val="center"/>
              <w:rPr>
                <w:rFonts w:eastAsia="宋体"/>
                <w:sz w:val="24"/>
                <w:szCs w:val="24"/>
              </w:rPr>
            </w:pPr>
          </w:p>
        </w:tc>
      </w:tr>
      <w:tr w:rsidR="00AA059E">
        <w:trPr>
          <w:cantSplit/>
          <w:trHeight w:val="397"/>
        </w:trPr>
        <w:tc>
          <w:tcPr>
            <w:tcW w:w="752" w:type="dxa"/>
            <w:noWrap/>
            <w:vAlign w:val="center"/>
          </w:tcPr>
          <w:p w:rsidR="00AA059E" w:rsidRDefault="00AA059E">
            <w:pPr>
              <w:jc w:val="center"/>
              <w:rPr>
                <w:rFonts w:eastAsia="宋体"/>
                <w:sz w:val="24"/>
                <w:szCs w:val="24"/>
              </w:rPr>
            </w:pPr>
            <w:r>
              <w:rPr>
                <w:rFonts w:eastAsia="宋体"/>
                <w:sz w:val="24"/>
                <w:szCs w:val="24"/>
              </w:rPr>
              <w:t>2</w:t>
            </w:r>
          </w:p>
        </w:tc>
        <w:tc>
          <w:tcPr>
            <w:tcW w:w="2757" w:type="dxa"/>
            <w:noWrap/>
            <w:vAlign w:val="center"/>
          </w:tcPr>
          <w:p w:rsidR="00AA059E" w:rsidRDefault="00AA059E">
            <w:pPr>
              <w:jc w:val="left"/>
              <w:rPr>
                <w:rFonts w:eastAsia="宋体"/>
                <w:sz w:val="24"/>
                <w:szCs w:val="24"/>
              </w:rPr>
            </w:pPr>
            <w:r>
              <w:rPr>
                <w:rFonts w:eastAsia="宋体" w:cs="宋体" w:hint="eastAsia"/>
                <w:sz w:val="24"/>
                <w:szCs w:val="24"/>
              </w:rPr>
              <w:t>可溶性重金属含量：镉含量（限色漆）</w:t>
            </w:r>
          </w:p>
        </w:tc>
        <w:tc>
          <w:tcPr>
            <w:tcW w:w="2976" w:type="dxa"/>
            <w:vMerge/>
            <w:noWrap/>
            <w:vAlign w:val="center"/>
          </w:tcPr>
          <w:p w:rsidR="00AA059E" w:rsidRDefault="00AA059E">
            <w:pPr>
              <w:snapToGrid w:val="0"/>
              <w:jc w:val="center"/>
              <w:rPr>
                <w:rFonts w:eastAsia="宋体"/>
                <w:sz w:val="24"/>
                <w:szCs w:val="24"/>
              </w:rPr>
            </w:pPr>
          </w:p>
        </w:tc>
        <w:tc>
          <w:tcPr>
            <w:tcW w:w="1259" w:type="dxa"/>
            <w:noWrap/>
            <w:vAlign w:val="center"/>
          </w:tcPr>
          <w:p w:rsidR="00AA059E" w:rsidRDefault="00AA059E">
            <w:pPr>
              <w:jc w:val="center"/>
              <w:rPr>
                <w:rFonts w:eastAsia="宋体"/>
                <w:sz w:val="24"/>
                <w:szCs w:val="24"/>
              </w:rPr>
            </w:pPr>
            <w:r>
              <w:rPr>
                <w:rFonts w:eastAsia="宋体"/>
                <w:sz w:val="24"/>
                <w:szCs w:val="24"/>
              </w:rPr>
              <w:t>●</w:t>
            </w:r>
          </w:p>
        </w:tc>
        <w:tc>
          <w:tcPr>
            <w:tcW w:w="1259" w:type="dxa"/>
            <w:noWrap/>
            <w:vAlign w:val="center"/>
          </w:tcPr>
          <w:p w:rsidR="00AA059E" w:rsidRDefault="00AA059E">
            <w:pPr>
              <w:jc w:val="center"/>
              <w:rPr>
                <w:rFonts w:eastAsia="宋体"/>
                <w:sz w:val="24"/>
                <w:szCs w:val="24"/>
              </w:rPr>
            </w:pPr>
          </w:p>
        </w:tc>
      </w:tr>
      <w:tr w:rsidR="00AA059E">
        <w:trPr>
          <w:cantSplit/>
          <w:trHeight w:val="397"/>
        </w:trPr>
        <w:tc>
          <w:tcPr>
            <w:tcW w:w="752" w:type="dxa"/>
            <w:noWrap/>
            <w:vAlign w:val="center"/>
          </w:tcPr>
          <w:p w:rsidR="00AA059E" w:rsidRDefault="00AA059E">
            <w:pPr>
              <w:jc w:val="center"/>
              <w:rPr>
                <w:rFonts w:eastAsia="宋体"/>
                <w:sz w:val="24"/>
                <w:szCs w:val="24"/>
              </w:rPr>
            </w:pPr>
            <w:r>
              <w:rPr>
                <w:rFonts w:eastAsia="宋体"/>
                <w:sz w:val="24"/>
                <w:szCs w:val="24"/>
              </w:rPr>
              <w:t>3</w:t>
            </w:r>
          </w:p>
        </w:tc>
        <w:tc>
          <w:tcPr>
            <w:tcW w:w="2757" w:type="dxa"/>
            <w:noWrap/>
            <w:vAlign w:val="center"/>
          </w:tcPr>
          <w:p w:rsidR="00AA059E" w:rsidRDefault="00AA059E">
            <w:pPr>
              <w:jc w:val="left"/>
              <w:rPr>
                <w:rFonts w:eastAsia="宋体"/>
                <w:sz w:val="24"/>
                <w:szCs w:val="24"/>
              </w:rPr>
            </w:pPr>
            <w:r>
              <w:rPr>
                <w:rFonts w:eastAsia="宋体" w:cs="宋体" w:hint="eastAsia"/>
                <w:sz w:val="24"/>
                <w:szCs w:val="24"/>
              </w:rPr>
              <w:t>可溶性重金属含量：铬含量（限色漆）</w:t>
            </w:r>
          </w:p>
        </w:tc>
        <w:tc>
          <w:tcPr>
            <w:tcW w:w="2976" w:type="dxa"/>
            <w:vMerge/>
            <w:noWrap/>
            <w:vAlign w:val="center"/>
          </w:tcPr>
          <w:p w:rsidR="00AA059E" w:rsidRDefault="00AA059E">
            <w:pPr>
              <w:snapToGrid w:val="0"/>
              <w:jc w:val="center"/>
              <w:rPr>
                <w:rFonts w:eastAsia="宋体"/>
                <w:sz w:val="24"/>
                <w:szCs w:val="24"/>
              </w:rPr>
            </w:pPr>
          </w:p>
        </w:tc>
        <w:tc>
          <w:tcPr>
            <w:tcW w:w="1259" w:type="dxa"/>
            <w:noWrap/>
            <w:vAlign w:val="center"/>
          </w:tcPr>
          <w:p w:rsidR="00AA059E" w:rsidRDefault="00AA059E">
            <w:pPr>
              <w:jc w:val="center"/>
              <w:rPr>
                <w:rFonts w:eastAsia="宋体"/>
                <w:sz w:val="24"/>
                <w:szCs w:val="24"/>
              </w:rPr>
            </w:pPr>
            <w:r>
              <w:rPr>
                <w:rFonts w:eastAsia="宋体"/>
                <w:sz w:val="24"/>
                <w:szCs w:val="24"/>
              </w:rPr>
              <w:t>●</w:t>
            </w:r>
          </w:p>
        </w:tc>
        <w:tc>
          <w:tcPr>
            <w:tcW w:w="1259" w:type="dxa"/>
            <w:noWrap/>
            <w:vAlign w:val="center"/>
          </w:tcPr>
          <w:p w:rsidR="00AA059E" w:rsidRDefault="00AA059E">
            <w:pPr>
              <w:jc w:val="center"/>
              <w:rPr>
                <w:rFonts w:eastAsia="宋体"/>
                <w:sz w:val="24"/>
                <w:szCs w:val="24"/>
              </w:rPr>
            </w:pPr>
          </w:p>
        </w:tc>
      </w:tr>
      <w:tr w:rsidR="00AA059E">
        <w:trPr>
          <w:cantSplit/>
          <w:trHeight w:val="397"/>
        </w:trPr>
        <w:tc>
          <w:tcPr>
            <w:tcW w:w="752" w:type="dxa"/>
            <w:noWrap/>
            <w:vAlign w:val="center"/>
          </w:tcPr>
          <w:p w:rsidR="00AA059E" w:rsidRDefault="00AA059E">
            <w:pPr>
              <w:jc w:val="center"/>
              <w:rPr>
                <w:rFonts w:eastAsia="宋体"/>
                <w:sz w:val="24"/>
                <w:szCs w:val="24"/>
              </w:rPr>
            </w:pPr>
            <w:r>
              <w:rPr>
                <w:rFonts w:eastAsia="宋体"/>
                <w:sz w:val="24"/>
                <w:szCs w:val="24"/>
              </w:rPr>
              <w:t>4</w:t>
            </w:r>
          </w:p>
        </w:tc>
        <w:tc>
          <w:tcPr>
            <w:tcW w:w="2757" w:type="dxa"/>
            <w:noWrap/>
            <w:vAlign w:val="center"/>
          </w:tcPr>
          <w:p w:rsidR="00AA059E" w:rsidRDefault="00AA059E">
            <w:pPr>
              <w:jc w:val="left"/>
              <w:rPr>
                <w:rFonts w:eastAsia="宋体"/>
                <w:sz w:val="24"/>
                <w:szCs w:val="24"/>
              </w:rPr>
            </w:pPr>
            <w:r>
              <w:rPr>
                <w:rFonts w:eastAsia="宋体" w:cs="宋体" w:hint="eastAsia"/>
                <w:sz w:val="24"/>
                <w:szCs w:val="24"/>
              </w:rPr>
              <w:t>可溶性重金属含量：汞含量（限色漆）</w:t>
            </w:r>
          </w:p>
        </w:tc>
        <w:tc>
          <w:tcPr>
            <w:tcW w:w="2976" w:type="dxa"/>
            <w:vMerge/>
            <w:noWrap/>
            <w:vAlign w:val="center"/>
          </w:tcPr>
          <w:p w:rsidR="00AA059E" w:rsidRDefault="00AA059E">
            <w:pPr>
              <w:snapToGrid w:val="0"/>
              <w:jc w:val="center"/>
              <w:rPr>
                <w:rFonts w:eastAsia="宋体"/>
                <w:sz w:val="24"/>
                <w:szCs w:val="24"/>
              </w:rPr>
            </w:pPr>
          </w:p>
        </w:tc>
        <w:tc>
          <w:tcPr>
            <w:tcW w:w="1259" w:type="dxa"/>
            <w:noWrap/>
            <w:vAlign w:val="center"/>
          </w:tcPr>
          <w:p w:rsidR="00AA059E" w:rsidRDefault="00AA059E">
            <w:pPr>
              <w:jc w:val="center"/>
              <w:rPr>
                <w:rFonts w:eastAsia="宋体"/>
                <w:sz w:val="24"/>
                <w:szCs w:val="24"/>
              </w:rPr>
            </w:pPr>
            <w:r>
              <w:rPr>
                <w:rFonts w:eastAsia="宋体"/>
                <w:sz w:val="24"/>
                <w:szCs w:val="24"/>
              </w:rPr>
              <w:t>●</w:t>
            </w:r>
          </w:p>
        </w:tc>
        <w:tc>
          <w:tcPr>
            <w:tcW w:w="1259" w:type="dxa"/>
            <w:noWrap/>
            <w:vAlign w:val="center"/>
          </w:tcPr>
          <w:p w:rsidR="00AA059E" w:rsidRDefault="00AA059E">
            <w:pPr>
              <w:jc w:val="center"/>
              <w:rPr>
                <w:rFonts w:eastAsia="宋体"/>
                <w:sz w:val="24"/>
                <w:szCs w:val="24"/>
              </w:rPr>
            </w:pPr>
          </w:p>
        </w:tc>
      </w:tr>
      <w:tr w:rsidR="00AA059E">
        <w:trPr>
          <w:cantSplit/>
          <w:trHeight w:val="397"/>
        </w:trPr>
        <w:tc>
          <w:tcPr>
            <w:tcW w:w="9003" w:type="dxa"/>
            <w:gridSpan w:val="5"/>
            <w:noWrap/>
            <w:vAlign w:val="center"/>
          </w:tcPr>
          <w:p w:rsidR="00AA059E" w:rsidRDefault="00AA059E">
            <w:pPr>
              <w:spacing w:line="360" w:lineRule="auto"/>
              <w:rPr>
                <w:rFonts w:eastAsia="宋体"/>
                <w:color w:val="000000"/>
                <w:sz w:val="24"/>
                <w:szCs w:val="24"/>
              </w:rPr>
            </w:pPr>
            <w:r>
              <w:rPr>
                <w:rFonts w:eastAsia="宋体" w:cs="宋体" w:hint="eastAsia"/>
                <w:color w:val="000000"/>
                <w:sz w:val="24"/>
                <w:szCs w:val="24"/>
              </w:rPr>
              <w:t>注：</w:t>
            </w:r>
            <w:r>
              <w:rPr>
                <w:rFonts w:eastAsia="宋体"/>
                <w:color w:val="000000"/>
                <w:sz w:val="24"/>
                <w:szCs w:val="24"/>
                <w:vertAlign w:val="superscript"/>
              </w:rPr>
              <w:t>a</w:t>
            </w:r>
            <w:r>
              <w:rPr>
                <w:rFonts w:eastAsia="宋体" w:cs="宋体" w:hint="eastAsia"/>
                <w:color w:val="000000"/>
                <w:sz w:val="24"/>
                <w:szCs w:val="24"/>
              </w:rPr>
              <w:t>极重要项目；</w:t>
            </w:r>
            <w:r>
              <w:rPr>
                <w:rFonts w:eastAsia="宋体"/>
                <w:color w:val="000000"/>
                <w:sz w:val="24"/>
                <w:szCs w:val="24"/>
                <w:vertAlign w:val="superscript"/>
              </w:rPr>
              <w:t>b</w:t>
            </w:r>
            <w:r>
              <w:rPr>
                <w:rFonts w:eastAsia="宋体" w:cs="宋体" w:hint="eastAsia"/>
                <w:color w:val="000000"/>
                <w:sz w:val="24"/>
                <w:szCs w:val="24"/>
              </w:rPr>
              <w:t>重要项目。</w:t>
            </w:r>
          </w:p>
        </w:tc>
      </w:tr>
    </w:tbl>
    <w:p w:rsidR="00AA059E" w:rsidRDefault="00AA059E" w:rsidP="007147E7">
      <w:pPr>
        <w:spacing w:beforeLines="50" w:line="360" w:lineRule="auto"/>
        <w:jc w:val="center"/>
        <w:rPr>
          <w:rFonts w:eastAsia="宋体"/>
          <w:sz w:val="24"/>
          <w:szCs w:val="24"/>
        </w:rPr>
      </w:pPr>
      <w:r>
        <w:rPr>
          <w:rFonts w:eastAsia="宋体" w:cs="宋体" w:hint="eastAsia"/>
          <w:sz w:val="24"/>
          <w:szCs w:val="24"/>
        </w:rPr>
        <w:t>表</w:t>
      </w:r>
      <w:r>
        <w:rPr>
          <w:rFonts w:eastAsia="宋体"/>
          <w:sz w:val="24"/>
          <w:szCs w:val="24"/>
        </w:rPr>
        <w:t xml:space="preserve">3 </w:t>
      </w:r>
      <w:r>
        <w:rPr>
          <w:rFonts w:eastAsia="宋体" w:cs="宋体" w:hint="eastAsia"/>
          <w:sz w:val="24"/>
          <w:szCs w:val="24"/>
        </w:rPr>
        <w:t>建筑用外墙涂料（水性，面漆）检验项目及重要程度分类</w:t>
      </w:r>
    </w:p>
    <w:tbl>
      <w:tblPr>
        <w:tblW w:w="900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4"/>
        <w:gridCol w:w="2757"/>
        <w:gridCol w:w="2978"/>
        <w:gridCol w:w="1259"/>
        <w:gridCol w:w="1255"/>
      </w:tblGrid>
      <w:tr w:rsidR="00AA059E">
        <w:trPr>
          <w:cantSplit/>
          <w:trHeight w:val="454"/>
        </w:trPr>
        <w:tc>
          <w:tcPr>
            <w:tcW w:w="754" w:type="dxa"/>
            <w:vMerge w:val="restart"/>
            <w:noWrap/>
            <w:vAlign w:val="center"/>
          </w:tcPr>
          <w:p w:rsidR="00AA059E" w:rsidRDefault="00AA059E">
            <w:pPr>
              <w:snapToGrid w:val="0"/>
              <w:jc w:val="center"/>
              <w:rPr>
                <w:rFonts w:eastAsia="宋体"/>
                <w:b/>
                <w:bCs/>
                <w:sz w:val="24"/>
                <w:szCs w:val="24"/>
              </w:rPr>
            </w:pPr>
            <w:r>
              <w:rPr>
                <w:rFonts w:eastAsia="宋体" w:cs="宋体" w:hint="eastAsia"/>
                <w:b/>
                <w:bCs/>
                <w:sz w:val="24"/>
                <w:szCs w:val="24"/>
              </w:rPr>
              <w:t>序号</w:t>
            </w:r>
          </w:p>
        </w:tc>
        <w:tc>
          <w:tcPr>
            <w:tcW w:w="2757" w:type="dxa"/>
            <w:vMerge w:val="restart"/>
            <w:noWrap/>
            <w:vAlign w:val="center"/>
          </w:tcPr>
          <w:p w:rsidR="00AA059E" w:rsidRDefault="00AA059E">
            <w:pPr>
              <w:snapToGrid w:val="0"/>
              <w:jc w:val="center"/>
              <w:rPr>
                <w:rFonts w:eastAsia="宋体"/>
                <w:b/>
                <w:bCs/>
                <w:sz w:val="24"/>
                <w:szCs w:val="24"/>
              </w:rPr>
            </w:pPr>
            <w:r>
              <w:rPr>
                <w:rFonts w:eastAsia="宋体" w:cs="宋体" w:hint="eastAsia"/>
                <w:b/>
                <w:bCs/>
                <w:sz w:val="24"/>
                <w:szCs w:val="24"/>
              </w:rPr>
              <w:t>检验项目</w:t>
            </w:r>
          </w:p>
        </w:tc>
        <w:tc>
          <w:tcPr>
            <w:tcW w:w="2978" w:type="dxa"/>
            <w:vMerge w:val="restart"/>
            <w:noWrap/>
            <w:vAlign w:val="center"/>
          </w:tcPr>
          <w:p w:rsidR="00AA059E" w:rsidRDefault="00AA059E">
            <w:pPr>
              <w:snapToGrid w:val="0"/>
              <w:jc w:val="center"/>
              <w:rPr>
                <w:rFonts w:eastAsia="宋体"/>
                <w:b/>
                <w:bCs/>
                <w:sz w:val="24"/>
                <w:szCs w:val="24"/>
              </w:rPr>
            </w:pPr>
            <w:r>
              <w:rPr>
                <w:rFonts w:eastAsia="宋体" w:cs="宋体" w:hint="eastAsia"/>
                <w:b/>
                <w:bCs/>
                <w:sz w:val="24"/>
                <w:szCs w:val="24"/>
              </w:rPr>
              <w:t>依据法律法规或标准</w:t>
            </w:r>
          </w:p>
        </w:tc>
        <w:tc>
          <w:tcPr>
            <w:tcW w:w="2514" w:type="dxa"/>
            <w:gridSpan w:val="2"/>
            <w:noWrap/>
            <w:vAlign w:val="center"/>
          </w:tcPr>
          <w:p w:rsidR="00AA059E" w:rsidRDefault="00AA059E">
            <w:pPr>
              <w:snapToGrid w:val="0"/>
              <w:jc w:val="center"/>
              <w:rPr>
                <w:rFonts w:eastAsia="宋体"/>
                <w:b/>
                <w:bCs/>
                <w:sz w:val="24"/>
                <w:szCs w:val="24"/>
              </w:rPr>
            </w:pPr>
            <w:r>
              <w:rPr>
                <w:rFonts w:eastAsia="宋体" w:cs="宋体" w:hint="eastAsia"/>
                <w:b/>
                <w:bCs/>
                <w:sz w:val="24"/>
                <w:szCs w:val="24"/>
              </w:rPr>
              <w:t>重要程度分类</w:t>
            </w:r>
          </w:p>
        </w:tc>
      </w:tr>
      <w:tr w:rsidR="00AA059E">
        <w:trPr>
          <w:cantSplit/>
          <w:trHeight w:val="454"/>
        </w:trPr>
        <w:tc>
          <w:tcPr>
            <w:tcW w:w="754" w:type="dxa"/>
            <w:vMerge/>
            <w:noWrap/>
            <w:vAlign w:val="center"/>
          </w:tcPr>
          <w:p w:rsidR="00AA059E" w:rsidRDefault="00AA059E">
            <w:pPr>
              <w:snapToGrid w:val="0"/>
              <w:jc w:val="center"/>
              <w:rPr>
                <w:rFonts w:eastAsia="宋体"/>
                <w:b/>
                <w:bCs/>
                <w:sz w:val="24"/>
                <w:szCs w:val="24"/>
              </w:rPr>
            </w:pPr>
          </w:p>
        </w:tc>
        <w:tc>
          <w:tcPr>
            <w:tcW w:w="2757" w:type="dxa"/>
            <w:vMerge/>
            <w:noWrap/>
            <w:vAlign w:val="center"/>
          </w:tcPr>
          <w:p w:rsidR="00AA059E" w:rsidRDefault="00AA059E">
            <w:pPr>
              <w:snapToGrid w:val="0"/>
              <w:jc w:val="center"/>
              <w:rPr>
                <w:rFonts w:eastAsia="宋体"/>
                <w:b/>
                <w:bCs/>
                <w:sz w:val="24"/>
                <w:szCs w:val="24"/>
              </w:rPr>
            </w:pPr>
          </w:p>
        </w:tc>
        <w:tc>
          <w:tcPr>
            <w:tcW w:w="2978" w:type="dxa"/>
            <w:vMerge/>
            <w:noWrap/>
            <w:vAlign w:val="center"/>
          </w:tcPr>
          <w:p w:rsidR="00AA059E" w:rsidRDefault="00AA059E">
            <w:pPr>
              <w:snapToGrid w:val="0"/>
              <w:jc w:val="center"/>
              <w:rPr>
                <w:rFonts w:eastAsia="宋体"/>
                <w:b/>
                <w:bCs/>
                <w:sz w:val="24"/>
                <w:szCs w:val="24"/>
              </w:rPr>
            </w:pPr>
          </w:p>
        </w:tc>
        <w:tc>
          <w:tcPr>
            <w:tcW w:w="1259" w:type="dxa"/>
            <w:noWrap/>
            <w:vAlign w:val="center"/>
          </w:tcPr>
          <w:p w:rsidR="00AA059E" w:rsidRDefault="00AA059E">
            <w:pPr>
              <w:widowControl/>
              <w:jc w:val="center"/>
              <w:rPr>
                <w:rFonts w:eastAsia="宋体"/>
                <w:b/>
                <w:bCs/>
                <w:color w:val="000000"/>
                <w:kern w:val="0"/>
                <w:sz w:val="24"/>
                <w:szCs w:val="24"/>
              </w:rPr>
            </w:pPr>
            <w:r>
              <w:rPr>
                <w:rFonts w:eastAsia="宋体"/>
                <w:b/>
                <w:bCs/>
                <w:color w:val="000000"/>
                <w:kern w:val="0"/>
                <w:sz w:val="24"/>
                <w:szCs w:val="24"/>
              </w:rPr>
              <w:t>A</w:t>
            </w:r>
            <w:r>
              <w:rPr>
                <w:rFonts w:eastAsia="宋体" w:cs="宋体" w:hint="eastAsia"/>
                <w:b/>
                <w:bCs/>
                <w:color w:val="000000"/>
                <w:kern w:val="0"/>
                <w:sz w:val="24"/>
                <w:szCs w:val="24"/>
              </w:rPr>
              <w:t>类</w:t>
            </w:r>
            <w:r>
              <w:rPr>
                <w:rFonts w:eastAsia="宋体"/>
                <w:b/>
                <w:bCs/>
                <w:color w:val="000000"/>
                <w:kern w:val="0"/>
                <w:sz w:val="24"/>
                <w:szCs w:val="24"/>
                <w:vertAlign w:val="superscript"/>
              </w:rPr>
              <w:t>a</w:t>
            </w:r>
          </w:p>
        </w:tc>
        <w:tc>
          <w:tcPr>
            <w:tcW w:w="1255" w:type="dxa"/>
            <w:noWrap/>
            <w:vAlign w:val="center"/>
          </w:tcPr>
          <w:p w:rsidR="00AA059E" w:rsidRDefault="00AA059E">
            <w:pPr>
              <w:widowControl/>
              <w:jc w:val="center"/>
              <w:rPr>
                <w:rFonts w:eastAsia="宋体"/>
                <w:b/>
                <w:bCs/>
                <w:color w:val="000000"/>
                <w:kern w:val="0"/>
                <w:sz w:val="24"/>
                <w:szCs w:val="24"/>
              </w:rPr>
            </w:pPr>
            <w:r>
              <w:rPr>
                <w:rFonts w:eastAsia="宋体"/>
                <w:b/>
                <w:bCs/>
                <w:color w:val="000000"/>
                <w:kern w:val="0"/>
                <w:sz w:val="24"/>
                <w:szCs w:val="24"/>
              </w:rPr>
              <w:t>B</w:t>
            </w:r>
            <w:r>
              <w:rPr>
                <w:rFonts w:eastAsia="宋体" w:cs="宋体" w:hint="eastAsia"/>
                <w:b/>
                <w:bCs/>
                <w:color w:val="000000"/>
                <w:kern w:val="0"/>
                <w:sz w:val="24"/>
                <w:szCs w:val="24"/>
              </w:rPr>
              <w:t>类</w:t>
            </w:r>
            <w:r>
              <w:rPr>
                <w:rFonts w:eastAsia="宋体"/>
                <w:b/>
                <w:bCs/>
                <w:color w:val="000000"/>
                <w:kern w:val="0"/>
                <w:sz w:val="24"/>
                <w:szCs w:val="24"/>
                <w:vertAlign w:val="superscript"/>
              </w:rPr>
              <w:t>b</w:t>
            </w:r>
          </w:p>
        </w:tc>
      </w:tr>
      <w:tr w:rsidR="00AA059E">
        <w:trPr>
          <w:cantSplit/>
          <w:trHeight w:val="454"/>
        </w:trPr>
        <w:tc>
          <w:tcPr>
            <w:tcW w:w="754" w:type="dxa"/>
            <w:noWrap/>
            <w:vAlign w:val="center"/>
          </w:tcPr>
          <w:p w:rsidR="00AA059E" w:rsidRDefault="00AA059E">
            <w:pPr>
              <w:jc w:val="center"/>
              <w:rPr>
                <w:rFonts w:eastAsia="宋体"/>
                <w:sz w:val="24"/>
                <w:szCs w:val="24"/>
              </w:rPr>
            </w:pPr>
            <w:r>
              <w:rPr>
                <w:rFonts w:eastAsia="宋体"/>
                <w:sz w:val="24"/>
                <w:szCs w:val="24"/>
              </w:rPr>
              <w:t>1</w:t>
            </w:r>
          </w:p>
        </w:tc>
        <w:tc>
          <w:tcPr>
            <w:tcW w:w="2757" w:type="dxa"/>
            <w:noWrap/>
            <w:vAlign w:val="center"/>
          </w:tcPr>
          <w:p w:rsidR="00AA059E" w:rsidRDefault="00AA059E">
            <w:pPr>
              <w:jc w:val="center"/>
              <w:rPr>
                <w:rFonts w:eastAsia="宋体"/>
                <w:sz w:val="24"/>
                <w:szCs w:val="24"/>
              </w:rPr>
            </w:pPr>
            <w:r>
              <w:rPr>
                <w:rFonts w:eastAsia="宋体" w:cs="宋体" w:hint="eastAsia"/>
                <w:sz w:val="24"/>
                <w:szCs w:val="24"/>
              </w:rPr>
              <w:t>总铅含量（限色漆）</w:t>
            </w:r>
          </w:p>
        </w:tc>
        <w:tc>
          <w:tcPr>
            <w:tcW w:w="2978" w:type="dxa"/>
            <w:vMerge w:val="restart"/>
            <w:noWrap/>
            <w:vAlign w:val="center"/>
          </w:tcPr>
          <w:p w:rsidR="00AA059E" w:rsidRDefault="00AA059E">
            <w:pPr>
              <w:jc w:val="center"/>
              <w:rPr>
                <w:rFonts w:eastAsia="宋体"/>
                <w:sz w:val="24"/>
                <w:szCs w:val="24"/>
              </w:rPr>
            </w:pPr>
            <w:r>
              <w:rPr>
                <w:rFonts w:eastAsia="宋体"/>
                <w:sz w:val="24"/>
                <w:szCs w:val="24"/>
              </w:rPr>
              <w:t>GB 18582-2020</w:t>
            </w:r>
            <w:r>
              <w:rPr>
                <w:rFonts w:eastAsia="宋体" w:cs="宋体" w:hint="eastAsia"/>
                <w:sz w:val="24"/>
                <w:szCs w:val="24"/>
              </w:rPr>
              <w:t>《建筑用墙面涂料中有害物质限量》</w:t>
            </w:r>
          </w:p>
        </w:tc>
        <w:tc>
          <w:tcPr>
            <w:tcW w:w="1259" w:type="dxa"/>
            <w:noWrap/>
            <w:vAlign w:val="center"/>
          </w:tcPr>
          <w:p w:rsidR="00AA059E" w:rsidRDefault="00AA059E">
            <w:pPr>
              <w:jc w:val="center"/>
              <w:rPr>
                <w:rFonts w:eastAsia="宋体"/>
                <w:sz w:val="24"/>
                <w:szCs w:val="24"/>
              </w:rPr>
            </w:pPr>
            <w:r>
              <w:rPr>
                <w:rFonts w:eastAsia="宋体"/>
                <w:sz w:val="24"/>
                <w:szCs w:val="24"/>
              </w:rPr>
              <w:t>●</w:t>
            </w:r>
          </w:p>
        </w:tc>
        <w:tc>
          <w:tcPr>
            <w:tcW w:w="1255" w:type="dxa"/>
            <w:noWrap/>
            <w:vAlign w:val="center"/>
          </w:tcPr>
          <w:p w:rsidR="00AA059E" w:rsidRDefault="00AA059E">
            <w:pPr>
              <w:jc w:val="center"/>
              <w:rPr>
                <w:rFonts w:eastAsia="宋体"/>
                <w:sz w:val="24"/>
                <w:szCs w:val="24"/>
              </w:rPr>
            </w:pPr>
          </w:p>
        </w:tc>
      </w:tr>
      <w:tr w:rsidR="00AA059E">
        <w:trPr>
          <w:cantSplit/>
          <w:trHeight w:val="454"/>
        </w:trPr>
        <w:tc>
          <w:tcPr>
            <w:tcW w:w="754" w:type="dxa"/>
            <w:noWrap/>
            <w:vAlign w:val="center"/>
          </w:tcPr>
          <w:p w:rsidR="00AA059E" w:rsidRDefault="00AA059E">
            <w:pPr>
              <w:jc w:val="center"/>
              <w:rPr>
                <w:rFonts w:eastAsia="宋体"/>
                <w:sz w:val="24"/>
                <w:szCs w:val="24"/>
              </w:rPr>
            </w:pPr>
            <w:r>
              <w:rPr>
                <w:rFonts w:eastAsia="宋体"/>
                <w:sz w:val="24"/>
                <w:szCs w:val="24"/>
              </w:rPr>
              <w:t>2</w:t>
            </w:r>
          </w:p>
        </w:tc>
        <w:tc>
          <w:tcPr>
            <w:tcW w:w="2757" w:type="dxa"/>
            <w:noWrap/>
            <w:vAlign w:val="center"/>
          </w:tcPr>
          <w:p w:rsidR="00AA059E" w:rsidRDefault="00AA059E">
            <w:pPr>
              <w:jc w:val="left"/>
              <w:rPr>
                <w:rFonts w:eastAsia="宋体"/>
                <w:sz w:val="24"/>
                <w:szCs w:val="24"/>
              </w:rPr>
            </w:pPr>
            <w:r>
              <w:rPr>
                <w:rFonts w:eastAsia="宋体" w:cs="宋体" w:hint="eastAsia"/>
                <w:sz w:val="24"/>
                <w:szCs w:val="24"/>
              </w:rPr>
              <w:t>可溶性重金属含量：镉含量（限色漆）</w:t>
            </w:r>
          </w:p>
        </w:tc>
        <w:tc>
          <w:tcPr>
            <w:tcW w:w="2978" w:type="dxa"/>
            <w:vMerge/>
            <w:noWrap/>
            <w:vAlign w:val="center"/>
          </w:tcPr>
          <w:p w:rsidR="00AA059E" w:rsidRDefault="00AA059E">
            <w:pPr>
              <w:jc w:val="center"/>
              <w:rPr>
                <w:rFonts w:eastAsia="宋体"/>
                <w:sz w:val="24"/>
                <w:szCs w:val="24"/>
              </w:rPr>
            </w:pPr>
          </w:p>
        </w:tc>
        <w:tc>
          <w:tcPr>
            <w:tcW w:w="1259" w:type="dxa"/>
            <w:noWrap/>
            <w:vAlign w:val="center"/>
          </w:tcPr>
          <w:p w:rsidR="00AA059E" w:rsidRDefault="00AA059E">
            <w:pPr>
              <w:jc w:val="center"/>
              <w:rPr>
                <w:rFonts w:eastAsia="宋体"/>
                <w:sz w:val="24"/>
                <w:szCs w:val="24"/>
              </w:rPr>
            </w:pPr>
            <w:r>
              <w:rPr>
                <w:rFonts w:eastAsia="宋体"/>
                <w:sz w:val="24"/>
                <w:szCs w:val="24"/>
              </w:rPr>
              <w:t>●</w:t>
            </w:r>
          </w:p>
        </w:tc>
        <w:tc>
          <w:tcPr>
            <w:tcW w:w="1255" w:type="dxa"/>
            <w:noWrap/>
            <w:vAlign w:val="center"/>
          </w:tcPr>
          <w:p w:rsidR="00AA059E" w:rsidRDefault="00AA059E">
            <w:pPr>
              <w:jc w:val="center"/>
              <w:rPr>
                <w:rFonts w:eastAsia="宋体"/>
                <w:sz w:val="24"/>
                <w:szCs w:val="24"/>
              </w:rPr>
            </w:pPr>
          </w:p>
        </w:tc>
      </w:tr>
      <w:tr w:rsidR="00AA059E">
        <w:trPr>
          <w:cantSplit/>
          <w:trHeight w:val="454"/>
        </w:trPr>
        <w:tc>
          <w:tcPr>
            <w:tcW w:w="754" w:type="dxa"/>
            <w:noWrap/>
            <w:vAlign w:val="center"/>
          </w:tcPr>
          <w:p w:rsidR="00AA059E" w:rsidRDefault="00AA059E">
            <w:pPr>
              <w:jc w:val="center"/>
              <w:rPr>
                <w:rFonts w:eastAsia="宋体"/>
                <w:sz w:val="24"/>
                <w:szCs w:val="24"/>
              </w:rPr>
            </w:pPr>
            <w:r>
              <w:rPr>
                <w:rFonts w:eastAsia="宋体"/>
                <w:sz w:val="24"/>
                <w:szCs w:val="24"/>
              </w:rPr>
              <w:t>3</w:t>
            </w:r>
          </w:p>
        </w:tc>
        <w:tc>
          <w:tcPr>
            <w:tcW w:w="2757" w:type="dxa"/>
            <w:noWrap/>
            <w:vAlign w:val="center"/>
          </w:tcPr>
          <w:p w:rsidR="00AA059E" w:rsidRDefault="00AA059E">
            <w:pPr>
              <w:jc w:val="left"/>
              <w:rPr>
                <w:rFonts w:eastAsia="宋体"/>
                <w:sz w:val="24"/>
                <w:szCs w:val="24"/>
              </w:rPr>
            </w:pPr>
            <w:r>
              <w:rPr>
                <w:rFonts w:eastAsia="宋体" w:cs="宋体" w:hint="eastAsia"/>
                <w:sz w:val="24"/>
                <w:szCs w:val="24"/>
              </w:rPr>
              <w:t>可溶性重金属含量：铬含量（限色漆）</w:t>
            </w:r>
          </w:p>
        </w:tc>
        <w:tc>
          <w:tcPr>
            <w:tcW w:w="2978" w:type="dxa"/>
            <w:vMerge/>
            <w:noWrap/>
            <w:vAlign w:val="center"/>
          </w:tcPr>
          <w:p w:rsidR="00AA059E" w:rsidRDefault="00AA059E">
            <w:pPr>
              <w:jc w:val="center"/>
              <w:rPr>
                <w:rFonts w:eastAsia="宋体"/>
                <w:sz w:val="24"/>
                <w:szCs w:val="24"/>
              </w:rPr>
            </w:pPr>
          </w:p>
        </w:tc>
        <w:tc>
          <w:tcPr>
            <w:tcW w:w="1259" w:type="dxa"/>
            <w:noWrap/>
            <w:vAlign w:val="center"/>
          </w:tcPr>
          <w:p w:rsidR="00AA059E" w:rsidRDefault="00AA059E">
            <w:pPr>
              <w:jc w:val="center"/>
              <w:rPr>
                <w:rFonts w:eastAsia="宋体"/>
                <w:sz w:val="24"/>
                <w:szCs w:val="24"/>
              </w:rPr>
            </w:pPr>
            <w:r>
              <w:rPr>
                <w:rFonts w:eastAsia="宋体"/>
                <w:sz w:val="24"/>
                <w:szCs w:val="24"/>
              </w:rPr>
              <w:t>●</w:t>
            </w:r>
          </w:p>
        </w:tc>
        <w:tc>
          <w:tcPr>
            <w:tcW w:w="1255" w:type="dxa"/>
            <w:noWrap/>
            <w:vAlign w:val="center"/>
          </w:tcPr>
          <w:p w:rsidR="00AA059E" w:rsidRDefault="00AA059E">
            <w:pPr>
              <w:jc w:val="center"/>
              <w:rPr>
                <w:rFonts w:eastAsia="宋体"/>
                <w:sz w:val="24"/>
                <w:szCs w:val="24"/>
              </w:rPr>
            </w:pPr>
          </w:p>
        </w:tc>
      </w:tr>
      <w:tr w:rsidR="00AA059E">
        <w:trPr>
          <w:cantSplit/>
          <w:trHeight w:val="454"/>
        </w:trPr>
        <w:tc>
          <w:tcPr>
            <w:tcW w:w="9003" w:type="dxa"/>
            <w:gridSpan w:val="5"/>
            <w:noWrap/>
            <w:vAlign w:val="center"/>
          </w:tcPr>
          <w:p w:rsidR="00AA059E" w:rsidRDefault="00AA059E">
            <w:pPr>
              <w:spacing w:line="360" w:lineRule="auto"/>
              <w:rPr>
                <w:rFonts w:eastAsia="宋体"/>
                <w:color w:val="000000"/>
                <w:sz w:val="24"/>
                <w:szCs w:val="24"/>
              </w:rPr>
            </w:pPr>
            <w:r>
              <w:rPr>
                <w:rFonts w:eastAsia="宋体" w:cs="宋体" w:hint="eastAsia"/>
                <w:color w:val="000000"/>
                <w:sz w:val="24"/>
                <w:szCs w:val="24"/>
              </w:rPr>
              <w:t>注：</w:t>
            </w:r>
            <w:r>
              <w:rPr>
                <w:rFonts w:eastAsia="宋体"/>
                <w:color w:val="000000"/>
                <w:sz w:val="24"/>
                <w:szCs w:val="24"/>
                <w:vertAlign w:val="superscript"/>
              </w:rPr>
              <w:t>a</w:t>
            </w:r>
            <w:r>
              <w:rPr>
                <w:rFonts w:eastAsia="宋体" w:cs="宋体" w:hint="eastAsia"/>
                <w:color w:val="000000"/>
                <w:sz w:val="24"/>
                <w:szCs w:val="24"/>
              </w:rPr>
              <w:t>极重要项目；</w:t>
            </w:r>
            <w:r>
              <w:rPr>
                <w:rFonts w:eastAsia="宋体"/>
                <w:color w:val="000000"/>
                <w:sz w:val="24"/>
                <w:szCs w:val="24"/>
                <w:vertAlign w:val="superscript"/>
              </w:rPr>
              <w:t>b</w:t>
            </w:r>
            <w:r>
              <w:rPr>
                <w:rFonts w:eastAsia="宋体" w:cs="宋体" w:hint="eastAsia"/>
                <w:color w:val="000000"/>
                <w:sz w:val="24"/>
                <w:szCs w:val="24"/>
              </w:rPr>
              <w:t>重要项目。</w:t>
            </w:r>
          </w:p>
        </w:tc>
      </w:tr>
    </w:tbl>
    <w:p w:rsidR="00AA059E" w:rsidRDefault="00AA059E" w:rsidP="007147E7">
      <w:pPr>
        <w:spacing w:beforeLines="50" w:line="360" w:lineRule="auto"/>
        <w:jc w:val="center"/>
        <w:rPr>
          <w:rFonts w:eastAsia="宋体"/>
          <w:sz w:val="24"/>
          <w:szCs w:val="24"/>
        </w:rPr>
      </w:pPr>
      <w:r>
        <w:rPr>
          <w:rFonts w:eastAsia="宋体" w:cs="宋体" w:hint="eastAsia"/>
          <w:sz w:val="24"/>
          <w:szCs w:val="24"/>
        </w:rPr>
        <w:t>表</w:t>
      </w:r>
      <w:r>
        <w:rPr>
          <w:rFonts w:eastAsia="宋体"/>
          <w:sz w:val="24"/>
          <w:szCs w:val="24"/>
        </w:rPr>
        <w:t>4</w:t>
      </w:r>
      <w:r>
        <w:rPr>
          <w:rFonts w:eastAsia="宋体" w:cs="宋体" w:hint="eastAsia"/>
          <w:sz w:val="24"/>
          <w:szCs w:val="24"/>
        </w:rPr>
        <w:t>水性木器涂料检验项目及重要程度分类</w:t>
      </w:r>
    </w:p>
    <w:tbl>
      <w:tblPr>
        <w:tblW w:w="900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4"/>
        <w:gridCol w:w="2757"/>
        <w:gridCol w:w="2978"/>
        <w:gridCol w:w="1259"/>
        <w:gridCol w:w="1255"/>
      </w:tblGrid>
      <w:tr w:rsidR="00AA059E">
        <w:trPr>
          <w:cantSplit/>
          <w:trHeight w:val="397"/>
        </w:trPr>
        <w:tc>
          <w:tcPr>
            <w:tcW w:w="754" w:type="dxa"/>
            <w:vMerge w:val="restart"/>
            <w:noWrap/>
            <w:vAlign w:val="center"/>
          </w:tcPr>
          <w:p w:rsidR="00AA059E" w:rsidRDefault="00AA059E">
            <w:pPr>
              <w:snapToGrid w:val="0"/>
              <w:jc w:val="center"/>
              <w:rPr>
                <w:rFonts w:eastAsia="宋体"/>
                <w:b/>
                <w:bCs/>
                <w:sz w:val="24"/>
                <w:szCs w:val="24"/>
              </w:rPr>
            </w:pPr>
            <w:r>
              <w:rPr>
                <w:rFonts w:eastAsia="宋体" w:cs="宋体" w:hint="eastAsia"/>
                <w:b/>
                <w:bCs/>
                <w:sz w:val="24"/>
                <w:szCs w:val="24"/>
              </w:rPr>
              <w:t>序号</w:t>
            </w:r>
          </w:p>
        </w:tc>
        <w:tc>
          <w:tcPr>
            <w:tcW w:w="2757" w:type="dxa"/>
            <w:vMerge w:val="restart"/>
            <w:noWrap/>
            <w:vAlign w:val="center"/>
          </w:tcPr>
          <w:p w:rsidR="00AA059E" w:rsidRDefault="00AA059E">
            <w:pPr>
              <w:snapToGrid w:val="0"/>
              <w:jc w:val="center"/>
              <w:rPr>
                <w:rFonts w:eastAsia="宋体"/>
                <w:b/>
                <w:bCs/>
                <w:sz w:val="24"/>
                <w:szCs w:val="24"/>
              </w:rPr>
            </w:pPr>
            <w:r>
              <w:rPr>
                <w:rFonts w:eastAsia="宋体" w:cs="宋体" w:hint="eastAsia"/>
                <w:b/>
                <w:bCs/>
                <w:sz w:val="24"/>
                <w:szCs w:val="24"/>
              </w:rPr>
              <w:t>检验项目</w:t>
            </w:r>
          </w:p>
        </w:tc>
        <w:tc>
          <w:tcPr>
            <w:tcW w:w="2978" w:type="dxa"/>
            <w:vMerge w:val="restart"/>
            <w:noWrap/>
            <w:vAlign w:val="center"/>
          </w:tcPr>
          <w:p w:rsidR="00AA059E" w:rsidRDefault="00AA059E">
            <w:pPr>
              <w:snapToGrid w:val="0"/>
              <w:jc w:val="center"/>
              <w:rPr>
                <w:rFonts w:eastAsia="宋体"/>
                <w:b/>
                <w:bCs/>
                <w:sz w:val="24"/>
                <w:szCs w:val="24"/>
              </w:rPr>
            </w:pPr>
            <w:r>
              <w:rPr>
                <w:rFonts w:eastAsia="宋体" w:cs="宋体" w:hint="eastAsia"/>
                <w:b/>
                <w:bCs/>
                <w:sz w:val="24"/>
                <w:szCs w:val="24"/>
              </w:rPr>
              <w:t>依据法律法规或标准</w:t>
            </w:r>
          </w:p>
        </w:tc>
        <w:tc>
          <w:tcPr>
            <w:tcW w:w="2514" w:type="dxa"/>
            <w:gridSpan w:val="2"/>
            <w:noWrap/>
            <w:vAlign w:val="center"/>
          </w:tcPr>
          <w:p w:rsidR="00AA059E" w:rsidRDefault="00AA059E">
            <w:pPr>
              <w:snapToGrid w:val="0"/>
              <w:jc w:val="center"/>
              <w:rPr>
                <w:rFonts w:eastAsia="宋体"/>
                <w:b/>
                <w:bCs/>
                <w:sz w:val="24"/>
                <w:szCs w:val="24"/>
              </w:rPr>
            </w:pPr>
            <w:r>
              <w:rPr>
                <w:rFonts w:eastAsia="宋体" w:cs="宋体" w:hint="eastAsia"/>
                <w:b/>
                <w:bCs/>
                <w:sz w:val="24"/>
                <w:szCs w:val="24"/>
              </w:rPr>
              <w:t>重要程度分类</w:t>
            </w:r>
          </w:p>
        </w:tc>
      </w:tr>
      <w:tr w:rsidR="00AA059E">
        <w:trPr>
          <w:cantSplit/>
          <w:trHeight w:val="397"/>
        </w:trPr>
        <w:tc>
          <w:tcPr>
            <w:tcW w:w="754" w:type="dxa"/>
            <w:vMerge/>
            <w:noWrap/>
            <w:vAlign w:val="center"/>
          </w:tcPr>
          <w:p w:rsidR="00AA059E" w:rsidRDefault="00AA059E">
            <w:pPr>
              <w:snapToGrid w:val="0"/>
              <w:jc w:val="center"/>
              <w:rPr>
                <w:rFonts w:eastAsia="宋体"/>
                <w:b/>
                <w:bCs/>
                <w:sz w:val="24"/>
                <w:szCs w:val="24"/>
              </w:rPr>
            </w:pPr>
          </w:p>
        </w:tc>
        <w:tc>
          <w:tcPr>
            <w:tcW w:w="2757" w:type="dxa"/>
            <w:vMerge/>
            <w:noWrap/>
            <w:vAlign w:val="center"/>
          </w:tcPr>
          <w:p w:rsidR="00AA059E" w:rsidRDefault="00AA059E">
            <w:pPr>
              <w:snapToGrid w:val="0"/>
              <w:jc w:val="center"/>
              <w:rPr>
                <w:rFonts w:eastAsia="宋体"/>
                <w:b/>
                <w:bCs/>
                <w:sz w:val="24"/>
                <w:szCs w:val="24"/>
              </w:rPr>
            </w:pPr>
          </w:p>
        </w:tc>
        <w:tc>
          <w:tcPr>
            <w:tcW w:w="2978" w:type="dxa"/>
            <w:vMerge/>
            <w:noWrap/>
            <w:vAlign w:val="center"/>
          </w:tcPr>
          <w:p w:rsidR="00AA059E" w:rsidRDefault="00AA059E">
            <w:pPr>
              <w:snapToGrid w:val="0"/>
              <w:jc w:val="center"/>
              <w:rPr>
                <w:rFonts w:eastAsia="宋体"/>
                <w:b/>
                <w:bCs/>
                <w:sz w:val="24"/>
                <w:szCs w:val="24"/>
              </w:rPr>
            </w:pPr>
          </w:p>
        </w:tc>
        <w:tc>
          <w:tcPr>
            <w:tcW w:w="1259" w:type="dxa"/>
            <w:noWrap/>
            <w:vAlign w:val="center"/>
          </w:tcPr>
          <w:p w:rsidR="00AA059E" w:rsidRDefault="00AA059E">
            <w:pPr>
              <w:widowControl/>
              <w:jc w:val="center"/>
              <w:rPr>
                <w:rFonts w:eastAsia="宋体"/>
                <w:b/>
                <w:bCs/>
                <w:color w:val="000000"/>
                <w:kern w:val="0"/>
                <w:sz w:val="24"/>
                <w:szCs w:val="24"/>
              </w:rPr>
            </w:pPr>
            <w:r>
              <w:rPr>
                <w:rFonts w:eastAsia="宋体"/>
                <w:b/>
                <w:bCs/>
                <w:color w:val="000000"/>
                <w:kern w:val="0"/>
                <w:sz w:val="24"/>
                <w:szCs w:val="24"/>
              </w:rPr>
              <w:t>A</w:t>
            </w:r>
            <w:r>
              <w:rPr>
                <w:rFonts w:eastAsia="宋体" w:cs="宋体" w:hint="eastAsia"/>
                <w:b/>
                <w:bCs/>
                <w:color w:val="000000"/>
                <w:kern w:val="0"/>
                <w:sz w:val="24"/>
                <w:szCs w:val="24"/>
              </w:rPr>
              <w:t>类</w:t>
            </w:r>
            <w:r>
              <w:rPr>
                <w:rFonts w:eastAsia="宋体"/>
                <w:b/>
                <w:bCs/>
                <w:color w:val="000000"/>
                <w:kern w:val="0"/>
                <w:sz w:val="24"/>
                <w:szCs w:val="24"/>
                <w:vertAlign w:val="superscript"/>
              </w:rPr>
              <w:t>a</w:t>
            </w:r>
          </w:p>
        </w:tc>
        <w:tc>
          <w:tcPr>
            <w:tcW w:w="1255" w:type="dxa"/>
            <w:noWrap/>
            <w:vAlign w:val="center"/>
          </w:tcPr>
          <w:p w:rsidR="00AA059E" w:rsidRDefault="00AA059E">
            <w:pPr>
              <w:widowControl/>
              <w:jc w:val="center"/>
              <w:rPr>
                <w:rFonts w:eastAsia="宋体"/>
                <w:b/>
                <w:bCs/>
                <w:color w:val="000000"/>
                <w:kern w:val="0"/>
                <w:sz w:val="24"/>
                <w:szCs w:val="24"/>
              </w:rPr>
            </w:pPr>
            <w:r>
              <w:rPr>
                <w:rFonts w:eastAsia="宋体"/>
                <w:b/>
                <w:bCs/>
                <w:color w:val="000000"/>
                <w:kern w:val="0"/>
                <w:sz w:val="24"/>
                <w:szCs w:val="24"/>
              </w:rPr>
              <w:t>B</w:t>
            </w:r>
            <w:r>
              <w:rPr>
                <w:rFonts w:eastAsia="宋体" w:cs="宋体" w:hint="eastAsia"/>
                <w:b/>
                <w:bCs/>
                <w:color w:val="000000"/>
                <w:kern w:val="0"/>
                <w:sz w:val="24"/>
                <w:szCs w:val="24"/>
              </w:rPr>
              <w:t>类</w:t>
            </w:r>
            <w:r>
              <w:rPr>
                <w:rFonts w:eastAsia="宋体"/>
                <w:b/>
                <w:bCs/>
                <w:color w:val="000000"/>
                <w:kern w:val="0"/>
                <w:sz w:val="24"/>
                <w:szCs w:val="24"/>
                <w:vertAlign w:val="superscript"/>
              </w:rPr>
              <w:t>b</w:t>
            </w:r>
          </w:p>
        </w:tc>
      </w:tr>
      <w:tr w:rsidR="00AA059E">
        <w:trPr>
          <w:cantSplit/>
          <w:trHeight w:val="397"/>
        </w:trPr>
        <w:tc>
          <w:tcPr>
            <w:tcW w:w="754" w:type="dxa"/>
            <w:noWrap/>
            <w:vAlign w:val="center"/>
          </w:tcPr>
          <w:p w:rsidR="00AA059E" w:rsidRDefault="00AA059E">
            <w:pPr>
              <w:jc w:val="center"/>
              <w:rPr>
                <w:rFonts w:eastAsia="宋体"/>
                <w:sz w:val="24"/>
                <w:szCs w:val="24"/>
              </w:rPr>
            </w:pPr>
            <w:r>
              <w:rPr>
                <w:rFonts w:eastAsia="宋体"/>
                <w:sz w:val="24"/>
                <w:szCs w:val="24"/>
              </w:rPr>
              <w:t>1</w:t>
            </w:r>
          </w:p>
        </w:tc>
        <w:tc>
          <w:tcPr>
            <w:tcW w:w="2757" w:type="dxa"/>
            <w:noWrap/>
            <w:vAlign w:val="center"/>
          </w:tcPr>
          <w:p w:rsidR="00AA059E" w:rsidRDefault="00AA059E">
            <w:pPr>
              <w:jc w:val="center"/>
              <w:rPr>
                <w:rFonts w:eastAsia="宋体"/>
                <w:sz w:val="24"/>
                <w:szCs w:val="24"/>
              </w:rPr>
            </w:pPr>
            <w:r>
              <w:rPr>
                <w:rFonts w:eastAsia="宋体" w:cs="宋体" w:hint="eastAsia"/>
                <w:sz w:val="24"/>
                <w:szCs w:val="24"/>
              </w:rPr>
              <w:t>苯系物总和含量</w:t>
            </w:r>
          </w:p>
        </w:tc>
        <w:tc>
          <w:tcPr>
            <w:tcW w:w="2978" w:type="dxa"/>
            <w:noWrap/>
            <w:vAlign w:val="center"/>
          </w:tcPr>
          <w:p w:rsidR="00AA059E" w:rsidRDefault="00AA059E">
            <w:pPr>
              <w:jc w:val="center"/>
              <w:rPr>
                <w:rFonts w:eastAsia="宋体"/>
                <w:sz w:val="24"/>
                <w:szCs w:val="24"/>
              </w:rPr>
            </w:pPr>
            <w:r>
              <w:rPr>
                <w:rFonts w:eastAsia="宋体"/>
                <w:sz w:val="24"/>
                <w:szCs w:val="24"/>
              </w:rPr>
              <w:t>GB 18581-2020</w:t>
            </w:r>
            <w:r>
              <w:rPr>
                <w:rFonts w:eastAsia="宋体" w:cs="宋体" w:hint="eastAsia"/>
                <w:sz w:val="24"/>
                <w:szCs w:val="24"/>
              </w:rPr>
              <w:t>《木器涂料中有害物质限量》</w:t>
            </w:r>
          </w:p>
        </w:tc>
        <w:tc>
          <w:tcPr>
            <w:tcW w:w="1259" w:type="dxa"/>
            <w:noWrap/>
            <w:vAlign w:val="center"/>
          </w:tcPr>
          <w:p w:rsidR="00AA059E" w:rsidRDefault="00AA059E">
            <w:pPr>
              <w:jc w:val="center"/>
              <w:rPr>
                <w:rFonts w:eastAsia="宋体"/>
                <w:sz w:val="24"/>
                <w:szCs w:val="24"/>
              </w:rPr>
            </w:pPr>
            <w:r>
              <w:rPr>
                <w:rFonts w:eastAsia="宋体"/>
                <w:sz w:val="24"/>
                <w:szCs w:val="24"/>
              </w:rPr>
              <w:t>●</w:t>
            </w:r>
          </w:p>
        </w:tc>
        <w:tc>
          <w:tcPr>
            <w:tcW w:w="1255" w:type="dxa"/>
            <w:noWrap/>
            <w:vAlign w:val="center"/>
          </w:tcPr>
          <w:p w:rsidR="00AA059E" w:rsidRDefault="00AA059E">
            <w:pPr>
              <w:jc w:val="center"/>
              <w:rPr>
                <w:rFonts w:eastAsia="宋体"/>
                <w:sz w:val="24"/>
                <w:szCs w:val="24"/>
              </w:rPr>
            </w:pPr>
          </w:p>
        </w:tc>
      </w:tr>
      <w:tr w:rsidR="00AA059E">
        <w:trPr>
          <w:cantSplit/>
          <w:trHeight w:val="397"/>
        </w:trPr>
        <w:tc>
          <w:tcPr>
            <w:tcW w:w="9003" w:type="dxa"/>
            <w:gridSpan w:val="5"/>
            <w:noWrap/>
            <w:vAlign w:val="center"/>
          </w:tcPr>
          <w:p w:rsidR="00AA059E" w:rsidRDefault="00AA059E">
            <w:pPr>
              <w:spacing w:line="360" w:lineRule="auto"/>
              <w:rPr>
                <w:rFonts w:eastAsia="宋体"/>
                <w:sz w:val="24"/>
                <w:szCs w:val="24"/>
              </w:rPr>
            </w:pPr>
            <w:r>
              <w:rPr>
                <w:rFonts w:eastAsia="宋体" w:cs="宋体" w:hint="eastAsia"/>
                <w:sz w:val="24"/>
                <w:szCs w:val="24"/>
              </w:rPr>
              <w:t>注：</w:t>
            </w:r>
            <w:r>
              <w:rPr>
                <w:rFonts w:eastAsia="宋体"/>
                <w:sz w:val="24"/>
                <w:szCs w:val="24"/>
                <w:vertAlign w:val="superscript"/>
              </w:rPr>
              <w:t>a</w:t>
            </w:r>
            <w:r>
              <w:rPr>
                <w:rFonts w:eastAsia="宋体" w:cs="宋体" w:hint="eastAsia"/>
                <w:sz w:val="24"/>
                <w:szCs w:val="24"/>
              </w:rPr>
              <w:t>极重要项目；</w:t>
            </w:r>
            <w:r>
              <w:rPr>
                <w:rFonts w:eastAsia="宋体"/>
                <w:sz w:val="24"/>
                <w:szCs w:val="24"/>
                <w:vertAlign w:val="superscript"/>
              </w:rPr>
              <w:t>b</w:t>
            </w:r>
            <w:r>
              <w:rPr>
                <w:rFonts w:eastAsia="宋体" w:cs="宋体" w:hint="eastAsia"/>
                <w:sz w:val="24"/>
                <w:szCs w:val="24"/>
              </w:rPr>
              <w:t>重要项目。</w:t>
            </w:r>
          </w:p>
        </w:tc>
      </w:tr>
    </w:tbl>
    <w:p w:rsidR="00AA059E" w:rsidRDefault="00AA059E" w:rsidP="00AA059E">
      <w:pPr>
        <w:spacing w:line="360" w:lineRule="auto"/>
        <w:ind w:firstLineChars="200" w:firstLine="31680"/>
        <w:jc w:val="left"/>
        <w:rPr>
          <w:rFonts w:eastAsia="宋体"/>
          <w:sz w:val="24"/>
          <w:szCs w:val="24"/>
        </w:rPr>
      </w:pPr>
      <w:r>
        <w:rPr>
          <w:rFonts w:eastAsia="宋体"/>
          <w:sz w:val="24"/>
          <w:szCs w:val="24"/>
        </w:rPr>
        <w:t xml:space="preserve">5.2  </w:t>
      </w:r>
      <w:r>
        <w:rPr>
          <w:rFonts w:eastAsia="宋体" w:cs="宋体" w:hint="eastAsia"/>
          <w:sz w:val="24"/>
          <w:szCs w:val="24"/>
        </w:rPr>
        <w:t>检验应注意的问题</w:t>
      </w:r>
    </w:p>
    <w:p w:rsidR="00AA059E" w:rsidRDefault="00AA059E" w:rsidP="008A1CCE">
      <w:pPr>
        <w:spacing w:line="360" w:lineRule="auto"/>
        <w:ind w:firstLineChars="200" w:firstLine="31680"/>
        <w:jc w:val="left"/>
        <w:rPr>
          <w:rFonts w:eastAsia="宋体"/>
          <w:sz w:val="24"/>
          <w:szCs w:val="24"/>
        </w:rPr>
      </w:pPr>
      <w:r>
        <w:rPr>
          <w:rFonts w:eastAsia="宋体" w:cs="宋体" w:hint="eastAsia"/>
          <w:sz w:val="24"/>
          <w:szCs w:val="24"/>
        </w:rPr>
        <w:t>若被检产品明示的质量要求缺少本细则中检验项目依据的推荐性标准要求时，该项目不参与判定，但应在检验报告备注中进行说明。</w:t>
      </w:r>
    </w:p>
    <w:p w:rsidR="00AA059E" w:rsidRDefault="00AA059E" w:rsidP="007147E7">
      <w:pPr>
        <w:snapToGrid w:val="0"/>
        <w:spacing w:beforeLines="50" w:line="360" w:lineRule="auto"/>
        <w:rPr>
          <w:rFonts w:eastAsia="宋体"/>
          <w:b/>
          <w:bCs/>
          <w:color w:val="000000"/>
          <w:sz w:val="30"/>
          <w:szCs w:val="30"/>
        </w:rPr>
      </w:pPr>
      <w:r>
        <w:rPr>
          <w:rFonts w:eastAsia="宋体"/>
          <w:b/>
          <w:bCs/>
          <w:color w:val="000000"/>
          <w:sz w:val="30"/>
          <w:szCs w:val="30"/>
        </w:rPr>
        <w:t xml:space="preserve">6 </w:t>
      </w:r>
      <w:r>
        <w:rPr>
          <w:rFonts w:eastAsia="宋体" w:cs="宋体" w:hint="eastAsia"/>
          <w:b/>
          <w:bCs/>
          <w:color w:val="000000"/>
          <w:sz w:val="30"/>
          <w:szCs w:val="30"/>
        </w:rPr>
        <w:t>判定原则</w:t>
      </w:r>
    </w:p>
    <w:p w:rsidR="00AA059E" w:rsidRDefault="00AA059E" w:rsidP="008A1CCE">
      <w:pPr>
        <w:spacing w:line="360" w:lineRule="auto"/>
        <w:ind w:firstLineChars="200" w:firstLine="31680"/>
        <w:jc w:val="left"/>
        <w:rPr>
          <w:rFonts w:eastAsia="宋体"/>
          <w:sz w:val="24"/>
          <w:szCs w:val="24"/>
        </w:rPr>
      </w:pPr>
      <w:r>
        <w:rPr>
          <w:rFonts w:eastAsia="宋体" w:cs="宋体" w:hint="eastAsia"/>
          <w:sz w:val="24"/>
          <w:szCs w:val="24"/>
        </w:rPr>
        <w:t>经检验，检验项目全部合格，判定为被抽查产品合格；检验项目中任一项或一项以上不合格，判定为被抽查产品不合格。其中，当产品存在</w:t>
      </w:r>
      <w:r>
        <w:rPr>
          <w:rFonts w:eastAsia="宋体"/>
          <w:sz w:val="24"/>
          <w:szCs w:val="24"/>
        </w:rPr>
        <w:t>A</w:t>
      </w:r>
      <w:r>
        <w:rPr>
          <w:rFonts w:eastAsia="宋体" w:cs="宋体" w:hint="eastAsia"/>
          <w:sz w:val="24"/>
          <w:szCs w:val="24"/>
        </w:rPr>
        <w:t>类项目及</w:t>
      </w:r>
      <w:r>
        <w:rPr>
          <w:rFonts w:eastAsia="宋体"/>
          <w:sz w:val="24"/>
          <w:szCs w:val="24"/>
        </w:rPr>
        <w:t>B</w:t>
      </w:r>
      <w:r>
        <w:rPr>
          <w:rFonts w:eastAsia="宋体" w:cs="宋体" w:hint="eastAsia"/>
          <w:sz w:val="24"/>
          <w:szCs w:val="24"/>
        </w:rPr>
        <w:t>类项目同时不合格时，属于严重不合格。</w:t>
      </w:r>
    </w:p>
    <w:p w:rsidR="00AA059E" w:rsidRDefault="00AA059E" w:rsidP="007147E7">
      <w:pPr>
        <w:snapToGrid w:val="0"/>
        <w:spacing w:beforeLines="50" w:line="360" w:lineRule="auto"/>
        <w:rPr>
          <w:rFonts w:eastAsia="宋体"/>
          <w:b/>
          <w:bCs/>
          <w:color w:val="000000"/>
          <w:sz w:val="30"/>
          <w:szCs w:val="30"/>
        </w:rPr>
      </w:pPr>
      <w:r>
        <w:rPr>
          <w:rFonts w:eastAsia="宋体"/>
          <w:b/>
          <w:bCs/>
          <w:color w:val="000000"/>
          <w:sz w:val="30"/>
          <w:szCs w:val="30"/>
        </w:rPr>
        <w:t xml:space="preserve">7 </w:t>
      </w:r>
      <w:r>
        <w:rPr>
          <w:rFonts w:eastAsia="宋体" w:cs="宋体" w:hint="eastAsia"/>
          <w:b/>
          <w:bCs/>
          <w:color w:val="000000"/>
          <w:sz w:val="30"/>
          <w:szCs w:val="30"/>
        </w:rPr>
        <w:t>异议处理</w:t>
      </w:r>
    </w:p>
    <w:p w:rsidR="00AA059E" w:rsidRDefault="00AA059E" w:rsidP="008A1CCE">
      <w:pPr>
        <w:spacing w:line="360" w:lineRule="auto"/>
        <w:ind w:firstLineChars="200" w:firstLine="31680"/>
        <w:jc w:val="left"/>
        <w:rPr>
          <w:rFonts w:eastAsia="宋体"/>
          <w:sz w:val="24"/>
          <w:szCs w:val="24"/>
        </w:rPr>
      </w:pPr>
      <w:r>
        <w:rPr>
          <w:rFonts w:eastAsia="宋体" w:cs="宋体" w:hint="eastAsia"/>
          <w:sz w:val="24"/>
          <w:szCs w:val="24"/>
        </w:rPr>
        <w:t>被抽样的样品标称的生产者申请复检的，应向汕头市市场监督管理局提出复检申请，由汕头市市场监督管理局根据复检受理原则处理。</w:t>
      </w:r>
    </w:p>
    <w:p w:rsidR="00AA059E" w:rsidRDefault="00AA059E" w:rsidP="008A1CCE">
      <w:pPr>
        <w:spacing w:line="360" w:lineRule="auto"/>
        <w:ind w:firstLineChars="200" w:firstLine="31680"/>
        <w:jc w:val="left"/>
        <w:rPr>
          <w:rFonts w:eastAsia="宋体"/>
          <w:sz w:val="24"/>
          <w:szCs w:val="24"/>
        </w:rPr>
      </w:pPr>
      <w:r>
        <w:rPr>
          <w:rFonts w:eastAsia="宋体" w:cs="宋体" w:hint="eastAsia"/>
          <w:sz w:val="24"/>
          <w:szCs w:val="24"/>
        </w:rPr>
        <w:t>对检验结果有异议时仅对不合格项目进行复检，以复检结果为准。</w:t>
      </w:r>
    </w:p>
    <w:p w:rsidR="00AA059E" w:rsidRDefault="00AA059E" w:rsidP="008A1CCE">
      <w:pPr>
        <w:spacing w:line="360" w:lineRule="auto"/>
        <w:ind w:firstLineChars="200" w:firstLine="31680"/>
        <w:jc w:val="left"/>
        <w:rPr>
          <w:rFonts w:eastAsia="宋体"/>
          <w:sz w:val="24"/>
          <w:szCs w:val="24"/>
        </w:rPr>
      </w:pPr>
      <w:r>
        <w:rPr>
          <w:rFonts w:eastAsia="宋体" w:cs="宋体" w:hint="eastAsia"/>
          <w:sz w:val="24"/>
          <w:szCs w:val="24"/>
        </w:rPr>
        <w:t>不进行复检情况：被检方提出复检时，产品在复检有效期内于正常贮存条件下已变质。</w:t>
      </w:r>
    </w:p>
    <w:p w:rsidR="00AA059E" w:rsidRDefault="00AA059E">
      <w:pPr>
        <w:spacing w:line="360" w:lineRule="auto"/>
        <w:jc w:val="center"/>
        <w:rPr>
          <w:rFonts w:eastAsia="宋体"/>
          <w:sz w:val="24"/>
          <w:szCs w:val="24"/>
        </w:rPr>
      </w:pPr>
      <w:r>
        <w:rPr>
          <w:rFonts w:eastAsia="宋体"/>
          <w:sz w:val="24"/>
          <w:szCs w:val="24"/>
        </w:rPr>
        <w:t>————————————</w:t>
      </w:r>
    </w:p>
    <w:sectPr w:rsidR="00AA059E" w:rsidSect="00A234E3">
      <w:footerReference w:type="default" r:id="rId6"/>
      <w:pgSz w:w="11906" w:h="16838"/>
      <w:pgMar w:top="1418" w:right="1418" w:bottom="1418"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059E" w:rsidRDefault="00AA059E" w:rsidP="00A234E3">
      <w:r>
        <w:separator/>
      </w:r>
    </w:p>
  </w:endnote>
  <w:endnote w:type="continuationSeparator" w:id="1">
    <w:p w:rsidR="00AA059E" w:rsidRDefault="00AA059E" w:rsidP="00A234E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59E" w:rsidRDefault="00AA059E">
    <w:pPr>
      <w:pStyle w:val="Footer"/>
      <w:jc w:val="center"/>
      <w:rPr>
        <w:rFonts w:ascii="宋体" w:eastAsia="宋体" w:hAnsi="宋体"/>
      </w:rPr>
    </w:pPr>
    <w:r>
      <w:rPr>
        <w:rFonts w:ascii="宋体" w:eastAsia="宋体" w:hAnsi="宋体" w:cs="宋体" w:hint="eastAsia"/>
      </w:rPr>
      <w:t>第</w:t>
    </w:r>
    <w:r>
      <w:rPr>
        <w:rFonts w:ascii="宋体" w:eastAsia="宋体" w:hAnsi="宋体" w:cs="宋体"/>
      </w:rPr>
      <w:fldChar w:fldCharType="begin"/>
    </w:r>
    <w:r>
      <w:rPr>
        <w:rFonts w:ascii="宋体" w:eastAsia="宋体" w:hAnsi="宋体" w:cs="宋体"/>
      </w:rPr>
      <w:instrText>PAGE   \* MERGEFORMAT</w:instrText>
    </w:r>
    <w:r>
      <w:rPr>
        <w:rFonts w:ascii="宋体" w:eastAsia="宋体" w:hAnsi="宋体" w:cs="宋体"/>
      </w:rPr>
      <w:fldChar w:fldCharType="separate"/>
    </w:r>
    <w:r w:rsidRPr="00FC39E9">
      <w:rPr>
        <w:rFonts w:ascii="宋体" w:eastAsia="宋体" w:hAnsi="宋体" w:cs="宋体"/>
        <w:noProof/>
        <w:lang w:val="zh-CN"/>
      </w:rPr>
      <w:t>1</w:t>
    </w:r>
    <w:r>
      <w:rPr>
        <w:rFonts w:ascii="宋体" w:eastAsia="宋体" w:hAnsi="宋体" w:cs="宋体"/>
      </w:rPr>
      <w:fldChar w:fldCharType="end"/>
    </w:r>
    <w:r>
      <w:rPr>
        <w:rFonts w:ascii="宋体" w:eastAsia="宋体" w:hAnsi="宋体" w:cs="宋体"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059E" w:rsidRDefault="00AA059E" w:rsidP="00A234E3">
      <w:r>
        <w:separator/>
      </w:r>
    </w:p>
  </w:footnote>
  <w:footnote w:type="continuationSeparator" w:id="1">
    <w:p w:rsidR="00AA059E" w:rsidRDefault="00AA059E" w:rsidP="00A234E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5DB44463"/>
    <w:rsid w:val="0009245A"/>
    <w:rsid w:val="001313FA"/>
    <w:rsid w:val="00166379"/>
    <w:rsid w:val="001F2199"/>
    <w:rsid w:val="00213FB8"/>
    <w:rsid w:val="00253391"/>
    <w:rsid w:val="0028605D"/>
    <w:rsid w:val="00293FF2"/>
    <w:rsid w:val="002A3019"/>
    <w:rsid w:val="002C60EC"/>
    <w:rsid w:val="00304551"/>
    <w:rsid w:val="00313E80"/>
    <w:rsid w:val="0036011A"/>
    <w:rsid w:val="00382990"/>
    <w:rsid w:val="00422AB4"/>
    <w:rsid w:val="004921C0"/>
    <w:rsid w:val="00496385"/>
    <w:rsid w:val="004A18C0"/>
    <w:rsid w:val="00520037"/>
    <w:rsid w:val="00546EB8"/>
    <w:rsid w:val="005932E2"/>
    <w:rsid w:val="005957DA"/>
    <w:rsid w:val="005E2EF1"/>
    <w:rsid w:val="00664D65"/>
    <w:rsid w:val="006D1B4E"/>
    <w:rsid w:val="006E5BD9"/>
    <w:rsid w:val="007101FF"/>
    <w:rsid w:val="007147E7"/>
    <w:rsid w:val="007453B6"/>
    <w:rsid w:val="0075449B"/>
    <w:rsid w:val="007977D9"/>
    <w:rsid w:val="007D1422"/>
    <w:rsid w:val="007D4905"/>
    <w:rsid w:val="007D6F6F"/>
    <w:rsid w:val="007F64F0"/>
    <w:rsid w:val="007F6A82"/>
    <w:rsid w:val="00823EE0"/>
    <w:rsid w:val="008544AB"/>
    <w:rsid w:val="00870192"/>
    <w:rsid w:val="008966AE"/>
    <w:rsid w:val="008A1CCE"/>
    <w:rsid w:val="008D4776"/>
    <w:rsid w:val="008F5C79"/>
    <w:rsid w:val="009728CE"/>
    <w:rsid w:val="009B0462"/>
    <w:rsid w:val="00A234E3"/>
    <w:rsid w:val="00A713BD"/>
    <w:rsid w:val="00A86310"/>
    <w:rsid w:val="00AA059E"/>
    <w:rsid w:val="00AF68C7"/>
    <w:rsid w:val="00B20D89"/>
    <w:rsid w:val="00B36656"/>
    <w:rsid w:val="00B72A9D"/>
    <w:rsid w:val="00B90F7A"/>
    <w:rsid w:val="00BB77C5"/>
    <w:rsid w:val="00BC7A49"/>
    <w:rsid w:val="00BC7C7E"/>
    <w:rsid w:val="00BF4783"/>
    <w:rsid w:val="00C675FA"/>
    <w:rsid w:val="00CE3B85"/>
    <w:rsid w:val="00D32482"/>
    <w:rsid w:val="00D545E4"/>
    <w:rsid w:val="00D9386D"/>
    <w:rsid w:val="00DA6CA0"/>
    <w:rsid w:val="00E50D01"/>
    <w:rsid w:val="00E6184F"/>
    <w:rsid w:val="00E73B9E"/>
    <w:rsid w:val="00E84DA6"/>
    <w:rsid w:val="00E97E5F"/>
    <w:rsid w:val="00EE5AE5"/>
    <w:rsid w:val="00F20A19"/>
    <w:rsid w:val="00F51463"/>
    <w:rsid w:val="00F64372"/>
    <w:rsid w:val="00F73A02"/>
    <w:rsid w:val="00F73CDA"/>
    <w:rsid w:val="00F84A8E"/>
    <w:rsid w:val="00F86AEE"/>
    <w:rsid w:val="00F906DB"/>
    <w:rsid w:val="00FC39E9"/>
    <w:rsid w:val="00FC79BA"/>
    <w:rsid w:val="00FE2C4E"/>
    <w:rsid w:val="00FE3D16"/>
    <w:rsid w:val="1CE333ED"/>
    <w:rsid w:val="22964979"/>
    <w:rsid w:val="4674484F"/>
    <w:rsid w:val="4C933E3E"/>
    <w:rsid w:val="5DB44463"/>
    <w:rsid w:val="7A415D6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234E3"/>
    <w:pPr>
      <w:widowControl w:val="0"/>
      <w:jc w:val="both"/>
    </w:pPr>
    <w:rPr>
      <w:rFonts w:ascii="Times New Roman" w:eastAsia="仿宋_GB2312" w:hAnsi="Times New Roman"/>
      <w:sz w:val="32"/>
      <w:szCs w:val="32"/>
    </w:rPr>
  </w:style>
  <w:style w:type="paragraph" w:styleId="Heading3">
    <w:name w:val="heading 3"/>
    <w:basedOn w:val="Normal"/>
    <w:next w:val="Normal"/>
    <w:link w:val="Heading3Char"/>
    <w:uiPriority w:val="99"/>
    <w:qFormat/>
    <w:rsid w:val="00A234E3"/>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A234E3"/>
    <w:rPr>
      <w:rFonts w:ascii="宋体" w:eastAsia="宋体" w:cs="宋体"/>
      <w:b/>
      <w:bCs/>
      <w:sz w:val="27"/>
      <w:szCs w:val="27"/>
    </w:rPr>
  </w:style>
  <w:style w:type="paragraph" w:styleId="BalloonText">
    <w:name w:val="Balloon Text"/>
    <w:basedOn w:val="Normal"/>
    <w:link w:val="BalloonTextChar"/>
    <w:uiPriority w:val="99"/>
    <w:semiHidden/>
    <w:rsid w:val="00A234E3"/>
    <w:rPr>
      <w:sz w:val="18"/>
      <w:szCs w:val="18"/>
    </w:rPr>
  </w:style>
  <w:style w:type="character" w:customStyle="1" w:styleId="BalloonTextChar">
    <w:name w:val="Balloon Text Char"/>
    <w:basedOn w:val="DefaultParagraphFont"/>
    <w:link w:val="BalloonText"/>
    <w:uiPriority w:val="99"/>
    <w:locked/>
    <w:rsid w:val="00A234E3"/>
    <w:rPr>
      <w:rFonts w:ascii="Times New Roman" w:eastAsia="仿宋_GB2312" w:hAnsi="Times New Roman" w:cs="Times New Roman"/>
      <w:kern w:val="2"/>
      <w:sz w:val="18"/>
      <w:szCs w:val="18"/>
    </w:rPr>
  </w:style>
  <w:style w:type="paragraph" w:styleId="Footer">
    <w:name w:val="footer"/>
    <w:basedOn w:val="Normal"/>
    <w:link w:val="FooterChar"/>
    <w:uiPriority w:val="99"/>
    <w:rsid w:val="00A234E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A234E3"/>
    <w:rPr>
      <w:rFonts w:ascii="Times New Roman" w:eastAsia="仿宋_GB2312" w:hAnsi="Times New Roman" w:cs="Times New Roman"/>
      <w:kern w:val="2"/>
      <w:sz w:val="18"/>
      <w:szCs w:val="18"/>
    </w:rPr>
  </w:style>
  <w:style w:type="paragraph" w:styleId="Header">
    <w:name w:val="header"/>
    <w:basedOn w:val="Normal"/>
    <w:link w:val="HeaderChar"/>
    <w:uiPriority w:val="99"/>
    <w:rsid w:val="00A234E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A234E3"/>
    <w:rPr>
      <w:rFonts w:ascii="Times New Roman" w:eastAsia="仿宋_GB2312"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3</Pages>
  <Words>241</Words>
  <Characters>1375</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2022年度汕头市涂料产品质量监督抽查</dc:title>
  <dc:subject/>
  <dc:creator>曾永</dc:creator>
  <cp:keywords/>
  <dc:description/>
  <cp:lastModifiedBy>User</cp:lastModifiedBy>
  <cp:revision>13</cp:revision>
  <cp:lastPrinted>2022-04-01T00:49:00Z</cp:lastPrinted>
  <dcterms:created xsi:type="dcterms:W3CDTF">2022-04-02T02:35:00Z</dcterms:created>
  <dcterms:modified xsi:type="dcterms:W3CDTF">2023-08-28T08:34:00Z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