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0468F">
      <w:pPr>
        <w:spacing w:line="360" w:lineRule="auto"/>
        <w:jc w:val="both"/>
        <w:rPr>
          <w:rFonts w:hint="default"/>
          <w:b/>
          <w:color w:val="auto"/>
          <w:sz w:val="32"/>
          <w:lang w:val="en-US"/>
        </w:rPr>
      </w:pPr>
      <w:bookmarkStart w:id="7" w:name="_GoBack"/>
      <w:bookmarkEnd w:id="7"/>
      <w:r>
        <w:rPr>
          <w:b/>
          <w:color w:val="auto"/>
          <w:sz w:val="32"/>
        </w:rPr>
        <w:t>附件</w:t>
      </w:r>
      <w:r>
        <w:rPr>
          <w:rFonts w:hint="eastAsia"/>
          <w:b/>
          <w:color w:val="auto"/>
          <w:sz w:val="32"/>
          <w:lang w:val="en-US" w:eastAsia="zh-CN"/>
        </w:rPr>
        <w:t>2</w:t>
      </w:r>
    </w:p>
    <w:p w14:paraId="78BB238B">
      <w:pPr>
        <w:pStyle w:val="2"/>
        <w:spacing w:line="440" w:lineRule="exact"/>
        <w:jc w:val="center"/>
        <w:rPr>
          <w:b w:val="0"/>
          <w:color w:val="auto"/>
        </w:rPr>
      </w:pPr>
      <w:r>
        <w:rPr>
          <w:rFonts w:hint="eastAsia"/>
          <w:b w:val="0"/>
          <w:color w:val="auto"/>
        </w:rPr>
        <w:t>封面</w:t>
      </w:r>
    </w:p>
    <w:tbl>
      <w:tblPr>
        <w:tblStyle w:val="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7"/>
      </w:tblGrid>
      <w:tr w14:paraId="7997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7" w:hRule="atLeast"/>
          <w:jc w:val="center"/>
        </w:trPr>
        <w:tc>
          <w:tcPr>
            <w:tcW w:w="9657" w:type="dxa"/>
          </w:tcPr>
          <w:p w14:paraId="6D69C9F0">
            <w:pPr>
              <w:pStyle w:val="3"/>
              <w:spacing w:line="360" w:lineRule="auto"/>
              <w:ind w:firstLine="482" w:firstLineChars="150"/>
              <w:rPr>
                <w:rFonts w:ascii="仿宋_GB2312" w:eastAsia="仿宋_GB2312"/>
                <w:b/>
                <w:color w:val="auto"/>
                <w:sz w:val="32"/>
              </w:rPr>
            </w:pPr>
          </w:p>
          <w:p w14:paraId="16098AAB">
            <w:pPr>
              <w:pStyle w:val="3"/>
              <w:spacing w:line="360" w:lineRule="auto"/>
              <w:ind w:firstLine="482" w:firstLineChars="150"/>
              <w:rPr>
                <w:rFonts w:ascii="仿宋_GB2312" w:eastAsia="仿宋_GB2312"/>
                <w:b/>
                <w:color w:val="auto"/>
                <w:sz w:val="32"/>
              </w:rPr>
            </w:pPr>
          </w:p>
          <w:p w14:paraId="69A00446">
            <w:pPr>
              <w:pStyle w:val="3"/>
              <w:spacing w:line="360" w:lineRule="auto"/>
              <w:ind w:firstLine="482" w:firstLineChars="150"/>
              <w:rPr>
                <w:rFonts w:ascii="仿宋_GB2312" w:eastAsia="仿宋_GB2312"/>
                <w:b/>
                <w:color w:val="auto"/>
                <w:sz w:val="32"/>
              </w:rPr>
            </w:pPr>
          </w:p>
          <w:p w14:paraId="165F99EB">
            <w:pPr>
              <w:pStyle w:val="3"/>
              <w:spacing w:line="360" w:lineRule="auto"/>
              <w:jc w:val="center"/>
              <w:rPr>
                <w:rFonts w:ascii="黑体" w:eastAsia="黑体"/>
                <w:b/>
                <w:color w:val="auto"/>
                <w:sz w:val="72"/>
                <w:szCs w:val="72"/>
              </w:rPr>
            </w:pPr>
            <w:r>
              <w:rPr>
                <w:rFonts w:hint="eastAsia" w:ascii="黑体" w:eastAsia="黑体"/>
                <w:b/>
                <w:color w:val="auto"/>
                <w:sz w:val="72"/>
                <w:szCs w:val="72"/>
              </w:rPr>
              <w:t>报 价 文 件</w:t>
            </w:r>
          </w:p>
          <w:p w14:paraId="3CAB74D5">
            <w:pPr>
              <w:pStyle w:val="3"/>
              <w:spacing w:line="360" w:lineRule="auto"/>
              <w:rPr>
                <w:rFonts w:ascii="仿宋_GB2312" w:eastAsia="仿宋_GB2312"/>
                <w:b/>
                <w:color w:val="auto"/>
                <w:sz w:val="32"/>
              </w:rPr>
            </w:pPr>
          </w:p>
          <w:p w14:paraId="1DC26A4D">
            <w:pPr>
              <w:pStyle w:val="3"/>
              <w:spacing w:line="360" w:lineRule="auto"/>
              <w:rPr>
                <w:rFonts w:ascii="仿宋_GB2312" w:eastAsia="仿宋_GB2312"/>
                <w:b/>
                <w:color w:val="auto"/>
                <w:sz w:val="32"/>
              </w:rPr>
            </w:pPr>
          </w:p>
          <w:p w14:paraId="4DAFF456">
            <w:pPr>
              <w:pStyle w:val="3"/>
              <w:spacing w:line="360" w:lineRule="auto"/>
              <w:rPr>
                <w:rFonts w:ascii="仿宋_GB2312" w:eastAsia="仿宋_GB2312"/>
                <w:b/>
                <w:color w:val="auto"/>
                <w:sz w:val="32"/>
              </w:rPr>
            </w:pPr>
          </w:p>
          <w:p w14:paraId="1E6A0B36">
            <w:pPr>
              <w:pStyle w:val="3"/>
              <w:spacing w:line="360" w:lineRule="auto"/>
              <w:rPr>
                <w:rFonts w:ascii="仿宋_GB2312" w:eastAsia="仿宋_GB2312"/>
                <w:b/>
                <w:color w:val="auto"/>
                <w:sz w:val="32"/>
              </w:rPr>
            </w:pPr>
          </w:p>
          <w:p w14:paraId="62E92786">
            <w:pPr>
              <w:pStyle w:val="3"/>
              <w:spacing w:line="360" w:lineRule="auto"/>
              <w:ind w:left="319" w:leftChars="152" w:firstLine="707" w:firstLineChars="220"/>
              <w:rPr>
                <w:rFonts w:ascii="仿宋_GB2312" w:eastAsia="仿宋_GB2312"/>
                <w:b/>
                <w:color w:val="auto"/>
                <w:sz w:val="32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项目名称：2025年汕头市濠江区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  <w:lang w:eastAsia="zh-CN"/>
              </w:rPr>
              <w:t>“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南粤家政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  <w:lang w:eastAsia="zh-CN"/>
              </w:rPr>
              <w:t>”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培训基地购买就业公共服务项目</w:t>
            </w:r>
          </w:p>
          <w:p w14:paraId="4D3A2A25">
            <w:pPr>
              <w:pStyle w:val="3"/>
              <w:spacing w:line="360" w:lineRule="auto"/>
              <w:ind w:firstLine="1028" w:firstLineChars="320"/>
              <w:rPr>
                <w:rFonts w:ascii="仿宋_GB2312" w:eastAsia="仿宋_GB2312"/>
                <w:b/>
                <w:color w:val="auto"/>
                <w:sz w:val="32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报价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：</w:t>
            </w:r>
          </w:p>
          <w:p w14:paraId="27276D90">
            <w:pPr>
              <w:pStyle w:val="3"/>
              <w:spacing w:line="360" w:lineRule="auto"/>
              <w:ind w:firstLine="1028" w:firstLineChars="320"/>
              <w:rPr>
                <w:rFonts w:ascii="仿宋_GB2312" w:eastAsia="仿宋_GB2312"/>
                <w:b/>
                <w:color w:val="auto"/>
                <w:sz w:val="32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报价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地址：</w:t>
            </w:r>
          </w:p>
          <w:p w14:paraId="0A4A2660">
            <w:pPr>
              <w:pStyle w:val="3"/>
              <w:spacing w:line="360" w:lineRule="auto"/>
              <w:ind w:firstLine="1028" w:firstLineChars="320"/>
              <w:rPr>
                <w:rFonts w:ascii="仿宋_GB2312" w:eastAsia="仿宋_GB2312"/>
                <w:b/>
                <w:color w:val="auto"/>
                <w:sz w:val="32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报价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联系人：</w:t>
            </w:r>
          </w:p>
          <w:p w14:paraId="6C8FDB21">
            <w:pPr>
              <w:pStyle w:val="3"/>
              <w:spacing w:line="360" w:lineRule="auto"/>
              <w:ind w:firstLine="1028" w:firstLineChars="320"/>
              <w:rPr>
                <w:rFonts w:ascii="仿宋_GB2312" w:eastAsia="仿宋_GB2312"/>
                <w:b/>
                <w:color w:val="auto"/>
                <w:sz w:val="32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报价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b/>
                <w:color w:val="auto"/>
                <w:sz w:val="32"/>
                <w:szCs w:val="28"/>
              </w:rPr>
              <w:t>联系电话：</w:t>
            </w:r>
          </w:p>
          <w:p w14:paraId="693F8A9A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spacing w:line="420" w:lineRule="auto"/>
              <w:jc w:val="center"/>
              <w:rPr>
                <w:rFonts w:ascii="仿宋_GB2312" w:eastAsia="仿宋_GB2312"/>
                <w:b/>
                <w:color w:val="auto"/>
                <w:sz w:val="32"/>
              </w:rPr>
            </w:pPr>
          </w:p>
        </w:tc>
      </w:tr>
    </w:tbl>
    <w:p w14:paraId="557CF2D3">
      <w:pPr>
        <w:spacing w:line="360" w:lineRule="auto"/>
        <w:jc w:val="center"/>
        <w:rPr>
          <w:b/>
          <w:color w:val="auto"/>
          <w:sz w:val="32"/>
        </w:rPr>
      </w:pPr>
    </w:p>
    <w:p w14:paraId="660D81AF">
      <w:pPr>
        <w:pStyle w:val="2"/>
        <w:spacing w:line="440" w:lineRule="exact"/>
        <w:jc w:val="center"/>
        <w:rPr>
          <w:rFonts w:hint="default" w:eastAsia="黑体"/>
          <w:b w:val="0"/>
          <w:color w:val="auto"/>
          <w:lang w:val="en-US" w:eastAsia="zh-CN"/>
        </w:rPr>
      </w:pPr>
      <w:r>
        <w:rPr>
          <w:b w:val="0"/>
          <w:color w:val="auto"/>
        </w:rPr>
        <w:br w:type="page"/>
      </w:r>
      <w:r>
        <w:rPr>
          <w:rFonts w:hint="eastAsia"/>
          <w:b w:val="0"/>
          <w:bCs/>
          <w:color w:val="auto"/>
        </w:rPr>
        <w:t>一、</w:t>
      </w:r>
      <w:r>
        <w:rPr>
          <w:rFonts w:hint="eastAsia" w:ascii="宋体" w:hAnsi="宋体"/>
          <w:b w:val="0"/>
          <w:bCs/>
          <w:color w:val="auto"/>
          <w:szCs w:val="21"/>
        </w:rPr>
        <w:t>提供法人或者其他组织的营业执照等证明文件</w:t>
      </w:r>
    </w:p>
    <w:p w14:paraId="3116C604">
      <w:pPr>
        <w:widowControl/>
        <w:jc w:val="left"/>
        <w:rPr>
          <w:rFonts w:hint="eastAsia" w:eastAsia="宋体"/>
          <w:b/>
          <w:color w:val="auto"/>
          <w:sz w:val="32"/>
          <w:lang w:val="en-US" w:eastAsia="zh-CN"/>
        </w:rPr>
      </w:pPr>
      <w:r>
        <w:rPr>
          <w:b/>
          <w:color w:val="auto"/>
          <w:sz w:val="32"/>
        </w:rPr>
        <w:br w:type="page"/>
      </w:r>
    </w:p>
    <w:p w14:paraId="3C668843">
      <w:pPr>
        <w:pStyle w:val="2"/>
        <w:adjustRightInd w:val="0"/>
        <w:snapToGrid w:val="0"/>
        <w:spacing w:before="156" w:beforeLines="50" w:after="156" w:afterLines="50" w:line="360" w:lineRule="auto"/>
        <w:jc w:val="center"/>
        <w:rPr>
          <w:rFonts w:hint="eastAsia" w:eastAsia="黑体"/>
          <w:b w:val="0"/>
          <w:color w:val="auto"/>
          <w:lang w:val="en-US" w:eastAsia="zh-CN"/>
        </w:rPr>
      </w:pPr>
      <w:bookmarkStart w:id="0" w:name="_Toc50736476"/>
      <w:bookmarkStart w:id="1" w:name="_Toc275865608"/>
      <w:bookmarkStart w:id="2" w:name="_Toc50737328"/>
      <w:bookmarkStart w:id="3" w:name="_Toc50737296"/>
      <w:bookmarkStart w:id="4" w:name="_Toc50691034"/>
      <w:bookmarkStart w:id="5" w:name="_Toc52165080"/>
      <w:bookmarkStart w:id="6" w:name="_Toc275865605"/>
      <w:r>
        <w:rPr>
          <w:rFonts w:hint="eastAsia"/>
          <w:b w:val="0"/>
          <w:color w:val="auto"/>
          <w:lang w:val="en-US" w:eastAsia="zh-CN"/>
        </w:rPr>
        <w:t>二</w:t>
      </w:r>
      <w:r>
        <w:rPr>
          <w:rFonts w:hint="eastAsia"/>
          <w:b w:val="0"/>
          <w:color w:val="auto"/>
        </w:rPr>
        <w:t>、法定代表人</w:t>
      </w:r>
      <w:bookmarkEnd w:id="0"/>
      <w:bookmarkEnd w:id="1"/>
      <w:bookmarkEnd w:id="2"/>
      <w:bookmarkEnd w:id="3"/>
      <w:bookmarkEnd w:id="4"/>
      <w:bookmarkEnd w:id="5"/>
      <w:r>
        <w:rPr>
          <w:rFonts w:hint="eastAsia"/>
          <w:b w:val="0"/>
          <w:color w:val="auto"/>
          <w:lang w:val="en-US" w:eastAsia="zh-CN"/>
        </w:rPr>
        <w:t>身份证</w:t>
      </w:r>
    </w:p>
    <w:p w14:paraId="73281AF3">
      <w:pPr>
        <w:spacing w:line="500" w:lineRule="exact"/>
        <w:rPr>
          <w:rFonts w:ascii="宋体"/>
          <w:b/>
          <w:bCs/>
          <w:color w:val="auto"/>
        </w:rPr>
      </w:pPr>
    </w:p>
    <w:p w14:paraId="54DA40F6">
      <w:pPr>
        <w:widowControl/>
        <w:jc w:val="left"/>
        <w:rPr>
          <w:rFonts w:ascii="Arial" w:hAnsi="Arial" w:eastAsia="黑体"/>
          <w:bCs/>
          <w:color w:val="auto"/>
          <w:sz w:val="32"/>
          <w:szCs w:val="32"/>
        </w:rPr>
      </w:pPr>
    </w:p>
    <w:p w14:paraId="54936D87">
      <w:pPr>
        <w:widowControl/>
        <w:jc w:val="left"/>
        <w:rPr>
          <w:b/>
          <w:color w:val="auto"/>
        </w:rPr>
      </w:pPr>
    </w:p>
    <w:p w14:paraId="6341E0C4">
      <w:pPr>
        <w:widowControl/>
        <w:jc w:val="left"/>
        <w:rPr>
          <w:b/>
          <w:color w:val="auto"/>
        </w:rPr>
      </w:pPr>
    </w:p>
    <w:p w14:paraId="5B92871E">
      <w:pPr>
        <w:widowControl/>
        <w:jc w:val="left"/>
        <w:rPr>
          <w:b/>
          <w:color w:val="auto"/>
        </w:rPr>
      </w:pPr>
    </w:p>
    <w:p w14:paraId="0F3856CD">
      <w:pPr>
        <w:widowControl/>
        <w:jc w:val="left"/>
        <w:rPr>
          <w:b/>
          <w:color w:val="auto"/>
        </w:rPr>
      </w:pPr>
    </w:p>
    <w:p w14:paraId="5B3CCACB">
      <w:pPr>
        <w:widowControl/>
        <w:jc w:val="left"/>
        <w:rPr>
          <w:b/>
          <w:color w:val="auto"/>
        </w:rPr>
      </w:pPr>
    </w:p>
    <w:p w14:paraId="13A3EBB7">
      <w:pPr>
        <w:widowControl/>
        <w:jc w:val="left"/>
        <w:rPr>
          <w:b/>
          <w:color w:val="auto"/>
        </w:rPr>
      </w:pPr>
    </w:p>
    <w:p w14:paraId="08E1A148">
      <w:pPr>
        <w:widowControl/>
        <w:jc w:val="left"/>
        <w:rPr>
          <w:b/>
          <w:color w:val="auto"/>
        </w:rPr>
      </w:pPr>
    </w:p>
    <w:p w14:paraId="37512EA3">
      <w:pPr>
        <w:widowControl/>
        <w:jc w:val="left"/>
        <w:rPr>
          <w:b/>
          <w:color w:val="auto"/>
        </w:rPr>
      </w:pPr>
    </w:p>
    <w:p w14:paraId="45F57E87">
      <w:pPr>
        <w:widowControl/>
        <w:jc w:val="left"/>
        <w:rPr>
          <w:b/>
          <w:color w:val="auto"/>
        </w:rPr>
      </w:pPr>
    </w:p>
    <w:p w14:paraId="6A694B9C">
      <w:pPr>
        <w:widowControl/>
        <w:jc w:val="left"/>
        <w:rPr>
          <w:b/>
          <w:color w:val="auto"/>
        </w:rPr>
      </w:pPr>
    </w:p>
    <w:p w14:paraId="0A17A4C7">
      <w:pPr>
        <w:widowControl/>
        <w:jc w:val="left"/>
        <w:rPr>
          <w:b/>
          <w:color w:val="auto"/>
        </w:rPr>
      </w:pPr>
    </w:p>
    <w:p w14:paraId="65867259">
      <w:pPr>
        <w:widowControl/>
        <w:jc w:val="left"/>
        <w:rPr>
          <w:b/>
          <w:color w:val="auto"/>
        </w:rPr>
      </w:pPr>
    </w:p>
    <w:p w14:paraId="366DB5C5">
      <w:pPr>
        <w:widowControl/>
        <w:jc w:val="left"/>
        <w:rPr>
          <w:b/>
          <w:color w:val="auto"/>
        </w:rPr>
      </w:pPr>
    </w:p>
    <w:p w14:paraId="69E3895B">
      <w:pPr>
        <w:widowControl/>
        <w:jc w:val="left"/>
        <w:rPr>
          <w:b/>
          <w:color w:val="auto"/>
        </w:rPr>
      </w:pPr>
    </w:p>
    <w:p w14:paraId="788D344D">
      <w:pPr>
        <w:widowControl/>
        <w:jc w:val="left"/>
        <w:rPr>
          <w:b/>
          <w:color w:val="auto"/>
        </w:rPr>
      </w:pPr>
    </w:p>
    <w:p w14:paraId="46371F5C">
      <w:pPr>
        <w:widowControl/>
        <w:jc w:val="left"/>
        <w:rPr>
          <w:b/>
          <w:color w:val="auto"/>
        </w:rPr>
      </w:pPr>
    </w:p>
    <w:p w14:paraId="2397B646">
      <w:pPr>
        <w:widowControl/>
        <w:jc w:val="left"/>
        <w:rPr>
          <w:b/>
          <w:color w:val="auto"/>
        </w:rPr>
      </w:pPr>
    </w:p>
    <w:p w14:paraId="2BF51497">
      <w:pPr>
        <w:widowControl/>
        <w:jc w:val="left"/>
        <w:rPr>
          <w:b/>
          <w:color w:val="auto"/>
        </w:rPr>
      </w:pPr>
    </w:p>
    <w:p w14:paraId="248406EF">
      <w:pPr>
        <w:widowControl/>
        <w:jc w:val="left"/>
        <w:rPr>
          <w:b/>
          <w:color w:val="auto"/>
        </w:rPr>
      </w:pPr>
    </w:p>
    <w:p w14:paraId="14F77EA3">
      <w:pPr>
        <w:widowControl/>
        <w:jc w:val="left"/>
        <w:rPr>
          <w:b/>
          <w:color w:val="auto"/>
        </w:rPr>
      </w:pPr>
    </w:p>
    <w:p w14:paraId="2CC69EB3">
      <w:pPr>
        <w:widowControl/>
        <w:jc w:val="left"/>
        <w:rPr>
          <w:b/>
          <w:color w:val="auto"/>
        </w:rPr>
      </w:pPr>
    </w:p>
    <w:p w14:paraId="732F1D70">
      <w:pPr>
        <w:widowControl/>
        <w:jc w:val="left"/>
        <w:rPr>
          <w:b/>
          <w:color w:val="auto"/>
        </w:rPr>
      </w:pPr>
    </w:p>
    <w:p w14:paraId="53D33D81">
      <w:pPr>
        <w:widowControl/>
        <w:jc w:val="left"/>
        <w:rPr>
          <w:b/>
          <w:color w:val="auto"/>
        </w:rPr>
      </w:pPr>
    </w:p>
    <w:p w14:paraId="21F4B246">
      <w:pPr>
        <w:widowControl/>
        <w:jc w:val="left"/>
        <w:rPr>
          <w:b/>
          <w:color w:val="auto"/>
        </w:rPr>
      </w:pPr>
    </w:p>
    <w:p w14:paraId="7867FD33">
      <w:pPr>
        <w:widowControl/>
        <w:jc w:val="left"/>
        <w:rPr>
          <w:b/>
          <w:color w:val="auto"/>
        </w:rPr>
      </w:pPr>
    </w:p>
    <w:p w14:paraId="0E6E4ED3">
      <w:pPr>
        <w:widowControl/>
        <w:jc w:val="left"/>
        <w:rPr>
          <w:b/>
          <w:color w:val="auto"/>
        </w:rPr>
      </w:pPr>
    </w:p>
    <w:p w14:paraId="0FAB6E1B">
      <w:pPr>
        <w:widowControl/>
        <w:jc w:val="left"/>
        <w:rPr>
          <w:b/>
          <w:color w:val="auto"/>
        </w:rPr>
      </w:pPr>
    </w:p>
    <w:p w14:paraId="0E570F03">
      <w:pPr>
        <w:widowControl/>
        <w:jc w:val="left"/>
        <w:rPr>
          <w:b/>
          <w:color w:val="auto"/>
        </w:rPr>
      </w:pPr>
    </w:p>
    <w:p w14:paraId="3030F252">
      <w:pPr>
        <w:widowControl/>
        <w:jc w:val="left"/>
        <w:rPr>
          <w:b/>
          <w:color w:val="auto"/>
        </w:rPr>
      </w:pPr>
    </w:p>
    <w:p w14:paraId="64ED3467">
      <w:pPr>
        <w:widowControl/>
        <w:jc w:val="left"/>
        <w:rPr>
          <w:b/>
          <w:color w:val="auto"/>
        </w:rPr>
      </w:pPr>
    </w:p>
    <w:p w14:paraId="6F137148">
      <w:pPr>
        <w:widowControl/>
        <w:jc w:val="left"/>
        <w:rPr>
          <w:b/>
          <w:color w:val="auto"/>
        </w:rPr>
      </w:pPr>
    </w:p>
    <w:p w14:paraId="003A3D10">
      <w:pPr>
        <w:widowControl/>
        <w:jc w:val="left"/>
        <w:rPr>
          <w:b/>
          <w:color w:val="auto"/>
        </w:rPr>
      </w:pPr>
    </w:p>
    <w:p w14:paraId="1C2252DF">
      <w:pPr>
        <w:widowControl/>
        <w:jc w:val="left"/>
        <w:rPr>
          <w:b/>
          <w:color w:val="auto"/>
        </w:rPr>
      </w:pPr>
    </w:p>
    <w:p w14:paraId="1E4E93B2">
      <w:pPr>
        <w:widowControl/>
        <w:jc w:val="left"/>
        <w:rPr>
          <w:b/>
          <w:color w:val="auto"/>
        </w:rPr>
      </w:pPr>
    </w:p>
    <w:p w14:paraId="52C1755B">
      <w:pPr>
        <w:widowControl/>
        <w:jc w:val="left"/>
        <w:rPr>
          <w:b/>
          <w:color w:val="auto"/>
        </w:rPr>
      </w:pPr>
    </w:p>
    <w:p w14:paraId="2E90CFC5">
      <w:pPr>
        <w:widowControl/>
        <w:jc w:val="left"/>
        <w:rPr>
          <w:b/>
          <w:color w:val="auto"/>
        </w:rPr>
      </w:pPr>
    </w:p>
    <w:p w14:paraId="12A06D57">
      <w:pPr>
        <w:widowControl/>
        <w:jc w:val="left"/>
        <w:rPr>
          <w:b/>
          <w:color w:val="auto"/>
        </w:rPr>
      </w:pPr>
    </w:p>
    <w:p w14:paraId="3DEDF057">
      <w:pPr>
        <w:widowControl/>
        <w:jc w:val="left"/>
        <w:rPr>
          <w:b/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0E7F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2240" w:firstLineChars="7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highlight w:val="none"/>
          <w:shd w:val="clear" w:fill="FFFFFF"/>
          <w:lang w:val="en-US" w:eastAsia="zh-CN"/>
        </w:rPr>
        <w:t>三、汕头市濠江区“南粤家政”培训基地就业公共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highlight w:val="none"/>
          <w:shd w:val="clear" w:fill="FFFFFF"/>
        </w:rPr>
        <w:t>服务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highlight w:val="none"/>
          <w:shd w:val="clear" w:fill="FFFFFF"/>
          <w:lang w:val="en-US" w:eastAsia="zh-CN"/>
        </w:rPr>
        <w:t>报价表</w:t>
      </w:r>
    </w:p>
    <w:p w14:paraId="540C2D4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1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F1115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服务时间：2025年12月25日—2028年12月24日（共三期）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F1115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 xml:space="preserve">                               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单位：期/元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58"/>
        <w:gridCol w:w="8837"/>
        <w:gridCol w:w="2250"/>
      </w:tblGrid>
      <w:tr w14:paraId="253F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56" w:type="dxa"/>
            <w:vAlign w:val="center"/>
          </w:tcPr>
          <w:p w14:paraId="2E5B91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858" w:type="dxa"/>
            <w:vAlign w:val="center"/>
          </w:tcPr>
          <w:p w14:paraId="703552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服务项目</w:t>
            </w:r>
          </w:p>
        </w:tc>
        <w:tc>
          <w:tcPr>
            <w:tcW w:w="8837" w:type="dxa"/>
            <w:vAlign w:val="center"/>
          </w:tcPr>
          <w:p w14:paraId="79DFA1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内容要求</w:t>
            </w:r>
          </w:p>
        </w:tc>
        <w:tc>
          <w:tcPr>
            <w:tcW w:w="2250" w:type="dxa"/>
            <w:vAlign w:val="center"/>
          </w:tcPr>
          <w:p w14:paraId="72D0C9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所需经费</w:t>
            </w:r>
          </w:p>
        </w:tc>
      </w:tr>
      <w:tr w14:paraId="309F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56" w:type="dxa"/>
            <w:vAlign w:val="center"/>
          </w:tcPr>
          <w:p w14:paraId="0BE2BC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1</w:t>
            </w:r>
          </w:p>
        </w:tc>
        <w:tc>
          <w:tcPr>
            <w:tcW w:w="1858" w:type="dxa"/>
            <w:vAlign w:val="center"/>
          </w:tcPr>
          <w:p w14:paraId="127526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培训服务</w:t>
            </w:r>
          </w:p>
        </w:tc>
        <w:tc>
          <w:tcPr>
            <w:tcW w:w="8837" w:type="dxa"/>
            <w:vAlign w:val="center"/>
          </w:tcPr>
          <w:p w14:paraId="72DA8D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1.每期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培训不少于1000人次，活动不少于30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课时；</w:t>
            </w:r>
          </w:p>
          <w:p w14:paraId="2707C3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每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间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功能室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育婴室、养老护理室、家电清洗室、康复理疗室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每期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开展2次以上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功能相关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培训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eastAsia="zh-CN"/>
              </w:rPr>
              <w:t>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6025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</w:p>
          <w:p w14:paraId="3510C9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</w:p>
        </w:tc>
      </w:tr>
      <w:tr w14:paraId="2791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6" w:type="dxa"/>
            <w:vAlign w:val="center"/>
          </w:tcPr>
          <w:p w14:paraId="5EB3A8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2</w:t>
            </w:r>
          </w:p>
        </w:tc>
        <w:tc>
          <w:tcPr>
            <w:tcW w:w="1858" w:type="dxa"/>
            <w:vAlign w:val="center"/>
          </w:tcPr>
          <w:p w14:paraId="409A59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  <w:t>合作共建</w:t>
            </w:r>
          </w:p>
        </w:tc>
        <w:tc>
          <w:tcPr>
            <w:tcW w:w="8837" w:type="dxa"/>
            <w:vAlign w:val="center"/>
          </w:tcPr>
          <w:p w14:paraId="748495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GB" w:eastAsia="zh-CN"/>
              </w:rPr>
              <w:t>与不少于10家技工院校、行业协会或家政企业建立稳定合作关系，共建实习实训基地</w:t>
            </w:r>
          </w:p>
        </w:tc>
        <w:tc>
          <w:tcPr>
            <w:tcW w:w="2250" w:type="dxa"/>
            <w:vAlign w:val="center"/>
          </w:tcPr>
          <w:p w14:paraId="19B722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eastAsia="zh-CN"/>
              </w:rPr>
            </w:pPr>
          </w:p>
          <w:p w14:paraId="6007E7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eastAsia="zh-CN"/>
              </w:rPr>
            </w:pPr>
          </w:p>
        </w:tc>
      </w:tr>
      <w:tr w14:paraId="1F65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6" w:type="dxa"/>
            <w:shd w:val="clear" w:color="auto" w:fill="auto"/>
            <w:vAlign w:val="center"/>
          </w:tcPr>
          <w:p w14:paraId="0E720F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0A9E89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制度建设</w:t>
            </w:r>
          </w:p>
        </w:tc>
        <w:tc>
          <w:tcPr>
            <w:tcW w:w="8837" w:type="dxa"/>
            <w:shd w:val="clear" w:color="auto" w:fill="auto"/>
            <w:vAlign w:val="center"/>
          </w:tcPr>
          <w:p w14:paraId="680BC9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制定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GB" w:eastAsia="zh-CN"/>
              </w:rPr>
              <w:t>较为完善的管理服务制度、服务清单、服务流程、服务标准</w:t>
            </w:r>
          </w:p>
        </w:tc>
        <w:tc>
          <w:tcPr>
            <w:tcW w:w="2250" w:type="dxa"/>
            <w:vAlign w:val="center"/>
          </w:tcPr>
          <w:p w14:paraId="1433CC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</w:p>
        </w:tc>
      </w:tr>
      <w:tr w14:paraId="5780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551" w:type="dxa"/>
            <w:gridSpan w:val="3"/>
            <w:shd w:val="clear" w:color="auto" w:fill="auto"/>
            <w:vAlign w:val="center"/>
          </w:tcPr>
          <w:p w14:paraId="507D7A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每期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  <w:t>服务费用合计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319C7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</w:tbl>
    <w:p w14:paraId="048EC7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60" w:firstLineChars="170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highlight w:val="none"/>
          <w:lang w:val="en-US" w:eastAsia="zh-CN" w:bidi="ar"/>
        </w:rPr>
        <w:t xml:space="preserve"> </w:t>
      </w:r>
    </w:p>
    <w:p w14:paraId="117CF8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60" w:firstLineChars="170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highlight w:val="none"/>
          <w:lang w:val="en-US" w:eastAsia="zh-CN" w:bidi="ar"/>
        </w:rPr>
        <w:t xml:space="preserve">单位法定代表人签字：              </w:t>
      </w:r>
    </w:p>
    <w:p w14:paraId="26F19C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60" w:firstLineChars="7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highlight w:val="none"/>
          <w:lang w:val="en-US" w:eastAsia="zh-CN" w:bidi="ar"/>
        </w:rPr>
        <w:t xml:space="preserve">                       单位名称（公章）                       日期：    年   月   日 </w:t>
      </w:r>
    </w:p>
    <w:p w14:paraId="6B804469">
      <w:pPr>
        <w:widowControl/>
        <w:jc w:val="left"/>
        <w:rPr>
          <w:b/>
          <w:color w:val="auto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8A58F07">
      <w:pPr>
        <w:pStyle w:val="2"/>
        <w:adjustRightInd w:val="0"/>
        <w:snapToGrid w:val="0"/>
        <w:spacing w:before="156" w:beforeLines="50" w:after="156" w:afterLines="50" w:line="360" w:lineRule="auto"/>
        <w:jc w:val="center"/>
        <w:rPr>
          <w:rFonts w:hint="eastAsia"/>
          <w:b w:val="0"/>
          <w:color w:val="auto"/>
          <w:lang w:val="en-US" w:eastAsia="zh-CN"/>
        </w:rPr>
      </w:pPr>
      <w:r>
        <w:rPr>
          <w:rFonts w:hint="eastAsia"/>
          <w:b w:val="0"/>
          <w:color w:val="auto"/>
          <w:lang w:val="en-US" w:eastAsia="zh-CN"/>
        </w:rPr>
        <w:t>四、实施方案</w:t>
      </w:r>
    </w:p>
    <w:p w14:paraId="4AF1DC8F">
      <w:pPr>
        <w:widowControl/>
        <w:jc w:val="left"/>
        <w:rPr>
          <w:b/>
          <w:color w:val="auto"/>
        </w:rPr>
      </w:pPr>
    </w:p>
    <w:bookmarkEnd w:id="6"/>
    <w:p w14:paraId="79180806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ZWJmMGNkZWJlMjk3OWJjOThlOWE2MzNhMzRiYWUifQ=="/>
  </w:docVars>
  <w:rsids>
    <w:rsidRoot w:val="00000000"/>
    <w:rsid w:val="02881767"/>
    <w:rsid w:val="0C63010C"/>
    <w:rsid w:val="193A129D"/>
    <w:rsid w:val="1EEB04EA"/>
    <w:rsid w:val="2D0143E4"/>
    <w:rsid w:val="344043BA"/>
    <w:rsid w:val="43E3590A"/>
    <w:rsid w:val="4CFF614D"/>
    <w:rsid w:val="5EDF9DDF"/>
    <w:rsid w:val="6C127DA0"/>
    <w:rsid w:val="77D63205"/>
    <w:rsid w:val="DB679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355</Words>
  <Characters>376</Characters>
  <Lines>0</Lines>
  <Paragraphs>0</Paragraphs>
  <TotalTime>2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肖y</cp:lastModifiedBy>
  <cp:lastPrinted>2025-12-11T01:24:29Z</cp:lastPrinted>
  <dcterms:modified xsi:type="dcterms:W3CDTF">2025-12-11T01:24:41Z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24D80D99C52146F2B89BCA6EAB0FC436_13</vt:lpwstr>
  </property>
  <property fmtid="{D5CDD505-2E9C-101B-9397-08002B2CF9AE}" pid="4" name="KSOTemplateDocerSaveRecord">
    <vt:lpwstr>eyJoZGlkIjoiMjE1YzE3ODg5YWZiYzRhOTM4ZjRiZDQ2NGVjN2U3ZmMiLCJ1c2VySWQiOiIxOTc2OTM4MjEifQ==</vt:lpwstr>
  </property>
</Properties>
</file>