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7D62">
      <w:pPr>
        <w:pStyle w:val="5"/>
        <w:spacing w:line="700" w:lineRule="exact"/>
        <w:ind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1 </w:t>
      </w:r>
    </w:p>
    <w:p w14:paraId="6109786A">
      <w:pPr>
        <w:pStyle w:val="5"/>
        <w:spacing w:line="700" w:lineRule="exact"/>
        <w:ind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09B59999">
      <w:pPr>
        <w:pStyle w:val="5"/>
        <w:spacing w:line="700" w:lineRule="exact"/>
        <w:ind w:firstLine="0" w:firstLineChars="0"/>
        <w:jc w:val="center"/>
        <w:rPr>
          <w:rFonts w:hint="eastAsia" w:ascii="方正小标宋简体" w:hAnsi="方正仿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仿宋简体" w:eastAsia="方正小标宋简体" w:cs="方正小标宋简体"/>
          <w:sz w:val="44"/>
          <w:szCs w:val="44"/>
        </w:rPr>
        <w:t>用户需求书</w:t>
      </w:r>
    </w:p>
    <w:p w14:paraId="179F15F7">
      <w:pPr>
        <w:rPr>
          <w:rFonts w:hint="eastAsia"/>
        </w:rPr>
      </w:pPr>
    </w:p>
    <w:p w14:paraId="6450C934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一、项目一览表</w:t>
      </w:r>
    </w:p>
    <w:tbl>
      <w:tblPr>
        <w:tblStyle w:val="3"/>
        <w:tblpPr w:leftFromText="180" w:rightFromText="180" w:vertAnchor="text" w:horzAnchor="page" w:tblpX="1845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865"/>
        <w:gridCol w:w="1980"/>
        <w:gridCol w:w="750"/>
      </w:tblGrid>
      <w:tr w14:paraId="371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240D4954">
            <w:pPr>
              <w:pStyle w:val="5"/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采购内容</w:t>
            </w:r>
          </w:p>
        </w:tc>
        <w:tc>
          <w:tcPr>
            <w:tcW w:w="2865" w:type="dxa"/>
          </w:tcPr>
          <w:p w14:paraId="07D9BD63">
            <w:pPr>
              <w:pStyle w:val="5"/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服务期</w:t>
            </w:r>
          </w:p>
        </w:tc>
        <w:tc>
          <w:tcPr>
            <w:tcW w:w="1980" w:type="dxa"/>
          </w:tcPr>
          <w:p w14:paraId="1FE7365B">
            <w:pPr>
              <w:pStyle w:val="5"/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预算金额（年）</w:t>
            </w:r>
          </w:p>
        </w:tc>
        <w:tc>
          <w:tcPr>
            <w:tcW w:w="750" w:type="dxa"/>
          </w:tcPr>
          <w:p w14:paraId="00B4DAA9">
            <w:pPr>
              <w:pStyle w:val="5"/>
              <w:spacing w:line="600" w:lineRule="exact"/>
              <w:ind w:left="0" w:leftChars="0" w:firstLine="0" w:firstLineChars="0"/>
              <w:jc w:val="both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474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619" w:type="dxa"/>
            <w:vAlign w:val="center"/>
          </w:tcPr>
          <w:p w14:paraId="5286E45E">
            <w:pPr>
              <w:pStyle w:val="5"/>
              <w:spacing w:line="240" w:lineRule="auto"/>
              <w:ind w:firstLine="0" w:firstLineChars="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  <w:t>濠江区“南粤家政”培训基地就业公共服务项目</w:t>
            </w:r>
          </w:p>
        </w:tc>
        <w:tc>
          <w:tcPr>
            <w:tcW w:w="2865" w:type="dxa"/>
            <w:vAlign w:val="center"/>
          </w:tcPr>
          <w:p w14:paraId="2ECC71C5">
            <w:pPr>
              <w:pStyle w:val="5"/>
              <w:spacing w:line="600" w:lineRule="exact"/>
              <w:ind w:left="0" w:leftChars="0" w:firstLine="0" w:firstLineChars="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  <w:t>2025年12月25日至2028年12月24日（共三期，分期验收）</w:t>
            </w:r>
          </w:p>
        </w:tc>
        <w:tc>
          <w:tcPr>
            <w:tcW w:w="1980" w:type="dxa"/>
            <w:vAlign w:val="center"/>
          </w:tcPr>
          <w:p w14:paraId="56D18EBD">
            <w:pPr>
              <w:pStyle w:val="5"/>
              <w:spacing w:line="600" w:lineRule="exact"/>
              <w:ind w:firstLine="64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  <w:t>2.00万元</w:t>
            </w:r>
          </w:p>
        </w:tc>
        <w:tc>
          <w:tcPr>
            <w:tcW w:w="750" w:type="dxa"/>
          </w:tcPr>
          <w:p w14:paraId="55CFDD6F">
            <w:pPr>
              <w:pStyle w:val="5"/>
              <w:spacing w:line="600" w:lineRule="exact"/>
              <w:ind w:firstLine="640"/>
              <w:jc w:val="center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</w:p>
        </w:tc>
      </w:tr>
    </w:tbl>
    <w:p w14:paraId="6C29A42F">
      <w:pPr>
        <w:rPr>
          <w:rFonts w:hint="eastAsia"/>
        </w:rPr>
      </w:pPr>
    </w:p>
    <w:p w14:paraId="572AF74E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二、项目内容与总体要求</w:t>
      </w:r>
    </w:p>
    <w:p w14:paraId="387DBCC6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通过政府购买服务方式，委托一家具备相应资质的服务机构，承担濠江区“南粤家政”培训基地的运营管理与就业公共服务，具体落实培训、活动组织、资源对接、制度建设等任务，促进家政服务提质扩容与就业带动。项目实行分期验收、按效付费。</w:t>
      </w:r>
    </w:p>
    <w:p w14:paraId="2FD1A9C7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三、服务内容及要求</w:t>
      </w:r>
    </w:p>
    <w:p w14:paraId="696E331B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服务机构须在每期服务年度内（每期12个月）完成以下任务：</w:t>
      </w:r>
    </w:p>
    <w:p w14:paraId="752AC922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1.培训服务：开展各类线上线下家政服务技能培训活动不少于30课时，培训总量不低于1000人次。</w:t>
      </w:r>
    </w:p>
    <w:p w14:paraId="2A9B01C7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2.功能室使用：确保育婴室、养老护理室、家电清洗室、康复理疗室等每个培训功能室每期至少开展2次与其功能相关的培训活动。</w:t>
      </w:r>
    </w:p>
    <w:p w14:paraId="7CDA42BA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3.合作共建：与不少于10家技工院校、行业协会或家政企业建立稳定的合作关系，并共建实习实训基地。</w:t>
      </w:r>
    </w:p>
    <w:p w14:paraId="6CE4AE52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4.制度建设：建立健全规范的管理服务制度、服务清单、服务流程与服务标准。</w:t>
      </w:r>
    </w:p>
    <w:p w14:paraId="1B152FE0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四、验收与结算机制</w:t>
      </w:r>
    </w:p>
    <w:p w14:paraId="253E55EF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（一）验收方式：实行分期验收。服务机构须于每期服务结束前1个月提交《分期验收申请表》及完整佐证材料。验收方将依据《验收方案》所列指标进行材料审核与现场抽查。</w:t>
      </w:r>
    </w:p>
    <w:p w14:paraId="5FE2101C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（二）结算流程：</w:t>
      </w:r>
    </w:p>
    <w:p w14:paraId="73BE6B8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每期项目开始前，支付当期预算金额的50%作为首付款。</w:t>
      </w:r>
    </w:p>
    <w:p w14:paraId="2EB1219F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每期验收合格后，支付剩余50%尾款。</w:t>
      </w:r>
    </w:p>
    <w:p w14:paraId="32BFC8B4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验收不达标的，限期30日整改；整改后复验合格的，扣减10%服务费；复验仍不合格的，不予支付当期费用并中止协议。</w:t>
      </w:r>
    </w:p>
    <w:p w14:paraId="01CCCC10">
      <w:pPr>
        <w:ind w:firstLine="640" w:firstLineChars="200"/>
        <w:rPr>
          <w:rFonts w:hint="eastAsi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付款时间：在区财政资金到位后5个工作日内完成支付。</w:t>
      </w:r>
    </w:p>
    <w:p w14:paraId="685767E6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五、实施要求</w:t>
      </w:r>
    </w:p>
    <w:p w14:paraId="7827590C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（一）服务机构资质：报价人须具备合法的办学或培训资质，拥有开展“南粤家政”相关培训项目的经验和稳定的师资队伍。</w:t>
      </w:r>
    </w:p>
    <w:p w14:paraId="217F2E8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（二）人员要求：指派的管</w:t>
      </w:r>
      <w:bookmarkStart w:id="0" w:name="_GoBack"/>
      <w:bookmarkEnd w:id="0"/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理与教学团队需具备相应的专业能力与服务意识。</w:t>
      </w:r>
    </w:p>
    <w:p w14:paraId="4C42C345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（三）过程管理：服务机构须建立完整的服务台账，包括培训记录、活动档案、合作协议、财务单据等，并每3个月向采购单位书面反馈项目进展。</w:t>
      </w:r>
    </w:p>
    <w:p w14:paraId="6D1CD3FE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（四）质量保证：服务内容与质量需符合国家、省、市关于“南粤家政”工程的相关标准与政策要求。</w:t>
      </w:r>
    </w:p>
    <w:p w14:paraId="2B78212C">
      <w:pPr>
        <w:ind w:firstLine="420" w:firstLineChars="200"/>
        <w:rPr>
          <w:rFonts w:hint="eastAsia"/>
          <w:lang w:val="en-US" w:eastAsia="zh-CN"/>
        </w:rPr>
      </w:pPr>
    </w:p>
    <w:p w14:paraId="07743FF7">
      <w:pPr>
        <w:ind w:firstLine="420" w:firstLineChars="200"/>
        <w:rPr>
          <w:rFonts w:hint="eastAsia"/>
          <w:lang w:val="en-US" w:eastAsia="zh-CN"/>
        </w:rPr>
      </w:pPr>
    </w:p>
    <w:p w14:paraId="2A2B548A">
      <w:pPr>
        <w:ind w:firstLine="420" w:firstLineChars="200"/>
        <w:rPr>
          <w:rFonts w:hint="eastAsia"/>
          <w:lang w:val="en-US" w:eastAsia="zh-CN"/>
        </w:rPr>
      </w:pPr>
    </w:p>
    <w:p w14:paraId="78FD5930">
      <w:pPr>
        <w:ind w:firstLine="420" w:firstLineChars="200"/>
        <w:rPr>
          <w:rFonts w:hint="eastAsia"/>
          <w:lang w:val="en-US" w:eastAsia="zh-CN"/>
        </w:rPr>
      </w:pPr>
    </w:p>
    <w:p w14:paraId="75BCC37D">
      <w:pPr>
        <w:ind w:firstLine="420" w:firstLineChars="200"/>
        <w:rPr>
          <w:rFonts w:hint="default"/>
          <w:lang w:val="en-US" w:eastAsia="zh-CN"/>
        </w:rPr>
      </w:pPr>
    </w:p>
    <w:p w14:paraId="43BDAC2C">
      <w:pPr>
        <w:ind w:firstLine="420" w:firstLineChars="200"/>
        <w:rPr>
          <w:rFonts w:hint="default"/>
          <w:lang w:val="en-US" w:eastAsia="zh-CN"/>
        </w:rPr>
      </w:pPr>
    </w:p>
    <w:p w14:paraId="0C409F8B">
      <w:pPr>
        <w:ind w:firstLine="420" w:firstLineChars="200"/>
        <w:rPr>
          <w:rFonts w:hint="default"/>
          <w:lang w:val="en-US" w:eastAsia="zh-CN"/>
        </w:rPr>
      </w:pPr>
    </w:p>
    <w:p w14:paraId="668EAC72">
      <w:pPr>
        <w:ind w:firstLine="420" w:firstLineChars="200"/>
        <w:rPr>
          <w:rFonts w:hint="default"/>
          <w:lang w:val="en-US" w:eastAsia="zh-CN"/>
        </w:rPr>
      </w:pPr>
    </w:p>
    <w:p w14:paraId="6EFD9741">
      <w:pPr>
        <w:ind w:firstLine="420" w:firstLineChars="200"/>
        <w:rPr>
          <w:rFonts w:hint="default"/>
          <w:lang w:val="en-US" w:eastAsia="zh-CN"/>
        </w:rPr>
      </w:pPr>
    </w:p>
    <w:p w14:paraId="20FD7FAD">
      <w:pPr>
        <w:ind w:firstLine="420" w:firstLineChars="200"/>
        <w:rPr>
          <w:rFonts w:hint="default"/>
          <w:lang w:val="en-US" w:eastAsia="zh-CN"/>
        </w:rPr>
      </w:pPr>
    </w:p>
    <w:p w14:paraId="36D44E0D">
      <w:pPr>
        <w:ind w:firstLine="420" w:firstLineChars="200"/>
        <w:rPr>
          <w:rFonts w:hint="default"/>
          <w:lang w:val="en-US" w:eastAsia="zh-CN"/>
        </w:rPr>
      </w:pPr>
    </w:p>
    <w:p w14:paraId="5B1EAF4C">
      <w:pPr>
        <w:ind w:firstLine="420" w:firstLineChars="200"/>
        <w:rPr>
          <w:rFonts w:hint="default"/>
          <w:lang w:val="en-US" w:eastAsia="zh-CN"/>
        </w:rPr>
      </w:pPr>
    </w:p>
    <w:p w14:paraId="4F2D97B5">
      <w:pPr>
        <w:ind w:firstLine="420" w:firstLineChars="200"/>
        <w:rPr>
          <w:rFonts w:hint="default"/>
          <w:lang w:val="en-US" w:eastAsia="zh-CN"/>
        </w:rPr>
      </w:pPr>
    </w:p>
    <w:p w14:paraId="024B7710">
      <w:pPr>
        <w:ind w:firstLine="420" w:firstLineChars="200"/>
        <w:rPr>
          <w:rFonts w:hint="default"/>
          <w:lang w:val="en-US" w:eastAsia="zh-CN"/>
        </w:rPr>
      </w:pPr>
    </w:p>
    <w:p w14:paraId="0390FD2E">
      <w:pPr>
        <w:ind w:firstLine="420" w:firstLineChars="200"/>
        <w:rPr>
          <w:rFonts w:hint="default"/>
          <w:lang w:val="en-US" w:eastAsia="zh-CN"/>
        </w:rPr>
      </w:pPr>
    </w:p>
    <w:p w14:paraId="14B5B25F">
      <w:pPr>
        <w:ind w:firstLine="420" w:firstLineChars="200"/>
        <w:rPr>
          <w:rFonts w:hint="default"/>
          <w:lang w:val="en-US" w:eastAsia="zh-CN"/>
        </w:rPr>
      </w:pPr>
    </w:p>
    <w:p w14:paraId="37A691D5">
      <w:pPr>
        <w:ind w:firstLine="420" w:firstLineChars="200"/>
        <w:rPr>
          <w:rFonts w:hint="default"/>
          <w:lang w:val="en-US" w:eastAsia="zh-CN"/>
        </w:rPr>
      </w:pPr>
    </w:p>
    <w:p w14:paraId="0C1131B2">
      <w:pPr>
        <w:ind w:firstLine="420" w:firstLineChars="200"/>
        <w:rPr>
          <w:rFonts w:hint="default"/>
          <w:lang w:val="en-US" w:eastAsia="zh-CN"/>
        </w:rPr>
      </w:pPr>
    </w:p>
    <w:p w14:paraId="728C2F3D">
      <w:pPr>
        <w:ind w:firstLine="420" w:firstLineChars="200"/>
        <w:rPr>
          <w:rFonts w:hint="default"/>
          <w:lang w:val="en-US" w:eastAsia="zh-CN"/>
        </w:rPr>
      </w:pPr>
    </w:p>
    <w:p w14:paraId="6BCECB81">
      <w:pPr>
        <w:ind w:firstLine="420" w:firstLineChars="200"/>
        <w:rPr>
          <w:rFonts w:hint="default"/>
          <w:lang w:val="en-US" w:eastAsia="zh-CN"/>
        </w:rPr>
      </w:pPr>
    </w:p>
    <w:p w14:paraId="0A17B5F5">
      <w:pPr>
        <w:ind w:firstLine="420" w:firstLineChars="200"/>
        <w:rPr>
          <w:rFonts w:hint="default"/>
          <w:lang w:val="en-US" w:eastAsia="zh-CN"/>
        </w:rPr>
      </w:pPr>
    </w:p>
    <w:p w14:paraId="6208406A">
      <w:pPr>
        <w:ind w:firstLine="420" w:firstLineChars="200"/>
        <w:rPr>
          <w:rFonts w:hint="default"/>
          <w:lang w:val="en-US" w:eastAsia="zh-CN"/>
        </w:rPr>
      </w:pPr>
    </w:p>
    <w:p w14:paraId="419F959A">
      <w:pPr>
        <w:ind w:firstLine="420" w:firstLineChars="200"/>
        <w:rPr>
          <w:rFonts w:hint="default"/>
          <w:lang w:val="en-US" w:eastAsia="zh-CN"/>
        </w:rPr>
      </w:pPr>
    </w:p>
    <w:p w14:paraId="35EE66A4">
      <w:pPr>
        <w:ind w:firstLine="420" w:firstLineChars="200"/>
        <w:rPr>
          <w:rFonts w:hint="default"/>
          <w:lang w:val="en-US" w:eastAsia="zh-CN"/>
        </w:rPr>
      </w:pPr>
    </w:p>
    <w:p w14:paraId="1FD3FEE0">
      <w:pPr>
        <w:ind w:firstLine="420" w:firstLineChars="200"/>
        <w:rPr>
          <w:rFonts w:hint="default"/>
          <w:lang w:val="en-US" w:eastAsia="zh-CN"/>
        </w:rPr>
      </w:pPr>
    </w:p>
    <w:p w14:paraId="16C4DE07">
      <w:pPr>
        <w:ind w:firstLine="420" w:firstLineChars="200"/>
        <w:rPr>
          <w:rFonts w:hint="default"/>
          <w:lang w:val="en-US" w:eastAsia="zh-CN"/>
        </w:rPr>
      </w:pPr>
    </w:p>
    <w:p w14:paraId="340BA4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1F44"/>
    <w:rsid w:val="1D5C6209"/>
    <w:rsid w:val="27D21A43"/>
    <w:rsid w:val="65285870"/>
    <w:rsid w:val="693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875</Characters>
  <Lines>0</Lines>
  <Paragraphs>0</Paragraphs>
  <TotalTime>2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2025-12-10T00:41:00Z</dcterms:created>
  <dc:creator>肖y</dc:creator>
  <cp:lastModifiedBy>肖y</cp:lastModifiedBy>
  <dcterms:modified xsi:type="dcterms:W3CDTF">2025-12-10T10:03:26Z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1BD09CD893684BB3AE674DCFA8E24303_13</vt:lpwstr>
  </property>
  <property fmtid="{D5CDD505-2E9C-101B-9397-08002B2CF9AE}" pid="4" name="KSOTemplateDocerSaveRecord">
    <vt:lpwstr>eyJoZGlkIjoiMjE1YzE3ODg5YWZiYzRhOTM4ZjRiZDQ2NGVjN2U3ZmMiLCJ1c2VySWQiOiIxOTc2OTM4MjEifQ==</vt:lpwstr>
  </property>
</Properties>
</file>