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2E" w:rsidRPr="00321E5F" w:rsidRDefault="00E5712E" w:rsidP="00E5712E">
      <w:pPr>
        <w:autoSpaceDE w:val="0"/>
        <w:autoSpaceDN w:val="0"/>
        <w:adjustRightInd w:val="0"/>
        <w:jc w:val="center"/>
        <w:rPr>
          <w:rFonts w:ascii="仿宋" w:eastAsia="仿宋" w:hAnsi="仿宋" w:cs="FZXBSJW--GB1-0"/>
          <w:color w:val="000000"/>
          <w:kern w:val="0"/>
          <w:sz w:val="36"/>
          <w:szCs w:val="36"/>
        </w:rPr>
      </w:pPr>
      <w:r w:rsidRPr="00321E5F">
        <w:rPr>
          <w:rFonts w:ascii="仿宋" w:eastAsia="仿宋" w:hAnsi="仿宋" w:cs="FZXBSJW--GB1-0" w:hint="eastAsia"/>
          <w:color w:val="000000"/>
          <w:kern w:val="0"/>
          <w:sz w:val="36"/>
          <w:szCs w:val="36"/>
        </w:rPr>
        <w:t>关于重新印发汕头市人民政府关于贯彻《国有土地上房屋征收与补偿条例》的意见的通知</w:t>
      </w:r>
    </w:p>
    <w:p w:rsidR="00E30BB0" w:rsidRPr="00BA6D92" w:rsidRDefault="00E30BB0" w:rsidP="00A075B7">
      <w:pPr>
        <w:autoSpaceDE w:val="0"/>
        <w:autoSpaceDN w:val="0"/>
        <w:adjustRightInd w:val="0"/>
        <w:jc w:val="center"/>
        <w:rPr>
          <w:rFonts w:ascii="仿宋" w:eastAsia="仿宋" w:hAnsi="仿宋" w:cs="FZXBSJW--GB1-0"/>
          <w:color w:val="333333"/>
          <w:kern w:val="0"/>
          <w:sz w:val="30"/>
          <w:szCs w:val="30"/>
        </w:rPr>
      </w:pPr>
      <w:r w:rsidRPr="00BA6D92">
        <w:rPr>
          <w:rFonts w:ascii="仿宋" w:eastAsia="仿宋" w:hAnsi="仿宋" w:cs="FZXBSJW--GB1-0" w:hint="eastAsia"/>
          <w:color w:val="333333"/>
          <w:kern w:val="0"/>
          <w:sz w:val="30"/>
          <w:szCs w:val="30"/>
        </w:rPr>
        <w:t>汕府</w:t>
      </w:r>
      <w:r w:rsidR="00321E5F">
        <w:rPr>
          <w:rFonts w:ascii="仿宋" w:eastAsia="仿宋" w:hAnsi="仿宋" w:cs="FZXBSJW--GB1-0" w:hint="eastAsia"/>
          <w:color w:val="333333"/>
          <w:kern w:val="0"/>
          <w:sz w:val="30"/>
          <w:szCs w:val="30"/>
        </w:rPr>
        <w:t>办</w:t>
      </w:r>
      <w:r w:rsidRPr="00BA6D92">
        <w:rPr>
          <w:rFonts w:ascii="仿宋" w:eastAsia="仿宋" w:hAnsi="仿宋" w:cs="FZXBSJW--GB1-0" w:hint="eastAsia"/>
          <w:color w:val="333333"/>
          <w:kern w:val="0"/>
          <w:sz w:val="30"/>
          <w:szCs w:val="30"/>
        </w:rPr>
        <w:t>〔</w:t>
      </w:r>
      <w:r w:rsidR="00321E5F">
        <w:rPr>
          <w:rFonts w:ascii="仿宋" w:eastAsia="仿宋" w:hAnsi="仿宋" w:cs="FZXBSJW--GB1-0" w:hint="eastAsia"/>
          <w:color w:val="333333"/>
          <w:kern w:val="0"/>
          <w:sz w:val="30"/>
          <w:szCs w:val="30"/>
        </w:rPr>
        <w:t>2015</w:t>
      </w:r>
      <w:r w:rsidRPr="00BA6D92">
        <w:rPr>
          <w:rFonts w:ascii="仿宋" w:eastAsia="仿宋" w:hAnsi="仿宋" w:cs="FZXBSJW--GB1-0" w:hint="eastAsia"/>
          <w:color w:val="333333"/>
          <w:kern w:val="0"/>
          <w:sz w:val="30"/>
          <w:szCs w:val="30"/>
        </w:rPr>
        <w:t>〕</w:t>
      </w:r>
      <w:r w:rsidR="00321E5F">
        <w:rPr>
          <w:rFonts w:ascii="仿宋" w:eastAsia="仿宋" w:hAnsi="仿宋" w:cs="FZXBSJW--GB1-0" w:hint="eastAsia"/>
          <w:color w:val="333333"/>
          <w:kern w:val="0"/>
          <w:sz w:val="30"/>
          <w:szCs w:val="30"/>
        </w:rPr>
        <w:t>57</w:t>
      </w:r>
      <w:r w:rsidRPr="00BA6D92">
        <w:rPr>
          <w:rFonts w:ascii="仿宋" w:eastAsia="仿宋" w:hAnsi="仿宋" w:cs="FZXBSJW--GB1-0" w:hint="eastAsia"/>
          <w:color w:val="333333"/>
          <w:kern w:val="0"/>
          <w:sz w:val="30"/>
          <w:szCs w:val="30"/>
        </w:rPr>
        <w:t>号</w:t>
      </w:r>
    </w:p>
    <w:p w:rsidR="00E30BB0" w:rsidRPr="00E30BB0" w:rsidRDefault="00E30BB0" w:rsidP="00E30BB0">
      <w:pPr>
        <w:autoSpaceDE w:val="0"/>
        <w:autoSpaceDN w:val="0"/>
        <w:adjustRightInd w:val="0"/>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各区县人民政府，市政府各部门、各直属机构：</w:t>
      </w:r>
    </w:p>
    <w:p w:rsidR="00E30BB0" w:rsidRPr="00E30BB0" w:rsidRDefault="00E30BB0" w:rsidP="00E30BB0">
      <w:pPr>
        <w:autoSpaceDE w:val="0"/>
        <w:autoSpaceDN w:val="0"/>
        <w:adjustRightInd w:val="0"/>
        <w:ind w:firstLineChars="221" w:firstLine="707"/>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w:t>
      </w:r>
      <w:r w:rsidR="00321E5F" w:rsidRPr="00E5712E">
        <w:rPr>
          <w:rFonts w:ascii="仿宋" w:eastAsia="仿宋" w:hAnsi="仿宋" w:cs="FZXBSJW--GB1-0" w:hint="eastAsia"/>
          <w:color w:val="000000"/>
          <w:kern w:val="0"/>
          <w:sz w:val="32"/>
          <w:szCs w:val="32"/>
        </w:rPr>
        <w:t>汕头市人民政府关于贯彻</w:t>
      </w:r>
      <w:r w:rsidR="00321E5F">
        <w:rPr>
          <w:rFonts w:ascii="仿宋" w:eastAsia="仿宋" w:hAnsi="仿宋" w:cs="FZXBSJW--GB1-0" w:hint="eastAsia"/>
          <w:color w:val="000000"/>
          <w:kern w:val="0"/>
          <w:sz w:val="32"/>
          <w:szCs w:val="32"/>
        </w:rPr>
        <w:t>〈</w:t>
      </w:r>
      <w:r w:rsidR="00321E5F" w:rsidRPr="00E5712E">
        <w:rPr>
          <w:rFonts w:ascii="仿宋" w:eastAsia="仿宋" w:hAnsi="仿宋" w:cs="FZXBSJW--GB1-0" w:hint="eastAsia"/>
          <w:color w:val="000000"/>
          <w:kern w:val="0"/>
          <w:sz w:val="32"/>
          <w:szCs w:val="32"/>
        </w:rPr>
        <w:t>国有土地上</w:t>
      </w:r>
      <w:r w:rsidR="00321E5F">
        <w:rPr>
          <w:rFonts w:ascii="仿宋" w:eastAsia="仿宋" w:hAnsi="仿宋" w:cs="FZXBSJW--GB1-0" w:hint="eastAsia"/>
          <w:color w:val="000000"/>
          <w:kern w:val="0"/>
          <w:sz w:val="32"/>
          <w:szCs w:val="32"/>
        </w:rPr>
        <w:t>房屋征收与补偿条例〉</w:t>
      </w:r>
      <w:r w:rsidR="00321E5F" w:rsidRPr="00E5712E">
        <w:rPr>
          <w:rFonts w:ascii="仿宋" w:eastAsia="仿宋" w:hAnsi="仿宋" w:cs="FZXBSJW--GB1-0" w:hint="eastAsia"/>
          <w:color w:val="000000"/>
          <w:kern w:val="0"/>
          <w:sz w:val="32"/>
          <w:szCs w:val="32"/>
        </w:rPr>
        <w:t>的意见</w:t>
      </w:r>
      <w:r w:rsidRPr="00E30BB0">
        <w:rPr>
          <w:rFonts w:ascii="仿宋" w:eastAsia="仿宋" w:hAnsi="仿宋" w:cs="FZXBSJW--GB1-0" w:hint="eastAsia"/>
          <w:color w:val="333333"/>
          <w:kern w:val="0"/>
          <w:sz w:val="32"/>
          <w:szCs w:val="32"/>
        </w:rPr>
        <w:t>》</w:t>
      </w:r>
      <w:r w:rsidR="00321E5F">
        <w:rPr>
          <w:rFonts w:ascii="仿宋" w:eastAsia="仿宋" w:hAnsi="仿宋" w:cs="FZXBSJW--GB1-0" w:hint="eastAsia"/>
          <w:color w:val="333333"/>
          <w:kern w:val="0"/>
          <w:sz w:val="32"/>
          <w:szCs w:val="32"/>
        </w:rPr>
        <w:t>有效期届满，经市政府同意，</w:t>
      </w:r>
      <w:r w:rsidRPr="00E30BB0">
        <w:rPr>
          <w:rFonts w:ascii="仿宋" w:eastAsia="仿宋" w:hAnsi="仿宋" w:cs="FZXBSJW--GB1-0" w:hint="eastAsia"/>
          <w:color w:val="333333"/>
          <w:kern w:val="0"/>
          <w:sz w:val="32"/>
          <w:szCs w:val="32"/>
        </w:rPr>
        <w:t>现予</w:t>
      </w:r>
      <w:r w:rsidR="00321E5F">
        <w:rPr>
          <w:rFonts w:ascii="仿宋" w:eastAsia="仿宋" w:hAnsi="仿宋" w:cs="FZXBSJW--GB1-0" w:hint="eastAsia"/>
          <w:color w:val="333333"/>
          <w:kern w:val="0"/>
          <w:sz w:val="32"/>
          <w:szCs w:val="32"/>
        </w:rPr>
        <w:t>重新</w:t>
      </w:r>
      <w:r w:rsidRPr="00E30BB0">
        <w:rPr>
          <w:rFonts w:ascii="仿宋" w:eastAsia="仿宋" w:hAnsi="仿宋" w:cs="FZXBSJW--GB1-0" w:hint="eastAsia"/>
          <w:color w:val="333333"/>
          <w:kern w:val="0"/>
          <w:sz w:val="32"/>
          <w:szCs w:val="32"/>
        </w:rPr>
        <w:t>印发，请认真贯彻</w:t>
      </w:r>
      <w:r w:rsidR="00321E5F">
        <w:rPr>
          <w:rFonts w:ascii="仿宋" w:eastAsia="仿宋" w:hAnsi="仿宋" w:cs="FZXBSJW--GB1-0" w:hint="eastAsia"/>
          <w:color w:val="333333"/>
          <w:kern w:val="0"/>
          <w:sz w:val="32"/>
          <w:szCs w:val="32"/>
        </w:rPr>
        <w:t>执行</w:t>
      </w:r>
      <w:r w:rsidRPr="00E30BB0">
        <w:rPr>
          <w:rFonts w:ascii="仿宋" w:eastAsia="仿宋" w:hAnsi="仿宋" w:cs="FZXBSJW--GB1-0" w:hint="eastAsia"/>
          <w:color w:val="333333"/>
          <w:kern w:val="0"/>
          <w:sz w:val="32"/>
          <w:szCs w:val="32"/>
        </w:rPr>
        <w:t>。</w:t>
      </w:r>
    </w:p>
    <w:p w:rsidR="00E30BB0" w:rsidRPr="00E30BB0" w:rsidRDefault="00E30BB0" w:rsidP="00E30BB0">
      <w:pPr>
        <w:autoSpaceDE w:val="0"/>
        <w:autoSpaceDN w:val="0"/>
        <w:adjustRightInd w:val="0"/>
        <w:rPr>
          <w:rFonts w:ascii="仿宋" w:eastAsia="仿宋" w:hAnsi="仿宋" w:cs="FZXBSJW--GB1-0"/>
          <w:color w:val="333333"/>
          <w:kern w:val="0"/>
          <w:sz w:val="32"/>
          <w:szCs w:val="32"/>
        </w:rPr>
      </w:pPr>
    </w:p>
    <w:p w:rsidR="00E30BB0" w:rsidRPr="00E30BB0" w:rsidRDefault="00E30BB0" w:rsidP="00E30BB0">
      <w:pPr>
        <w:autoSpaceDE w:val="0"/>
        <w:autoSpaceDN w:val="0"/>
        <w:adjustRightInd w:val="0"/>
        <w:jc w:val="right"/>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汕头市人民政府</w:t>
      </w:r>
      <w:r w:rsidR="00321E5F">
        <w:rPr>
          <w:rFonts w:ascii="仿宋" w:eastAsia="仿宋" w:hAnsi="仿宋" w:cs="FZXBSJW--GB1-0" w:hint="eastAsia"/>
          <w:color w:val="333333"/>
          <w:kern w:val="0"/>
          <w:sz w:val="32"/>
          <w:szCs w:val="32"/>
        </w:rPr>
        <w:t>办公室</w:t>
      </w:r>
    </w:p>
    <w:p w:rsidR="00E30BB0" w:rsidRDefault="00E30BB0" w:rsidP="00321E5F">
      <w:pPr>
        <w:wordWrap w:val="0"/>
        <w:autoSpaceDE w:val="0"/>
        <w:autoSpaceDN w:val="0"/>
        <w:adjustRightInd w:val="0"/>
        <w:jc w:val="right"/>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201</w:t>
      </w:r>
      <w:r w:rsidR="00321E5F">
        <w:rPr>
          <w:rFonts w:ascii="仿宋" w:eastAsia="仿宋" w:hAnsi="仿宋" w:cs="FZXBSJW--GB1-0" w:hint="eastAsia"/>
          <w:color w:val="333333"/>
          <w:kern w:val="0"/>
          <w:sz w:val="32"/>
          <w:szCs w:val="32"/>
        </w:rPr>
        <w:t>5</w:t>
      </w:r>
      <w:r w:rsidRPr="00E30BB0">
        <w:rPr>
          <w:rFonts w:ascii="仿宋" w:eastAsia="仿宋" w:hAnsi="仿宋" w:cs="FZXBSJW--GB1-0" w:hint="eastAsia"/>
          <w:color w:val="333333"/>
          <w:kern w:val="0"/>
          <w:sz w:val="32"/>
          <w:szCs w:val="32"/>
        </w:rPr>
        <w:t>年9月</w:t>
      </w:r>
      <w:r w:rsidR="00321E5F">
        <w:rPr>
          <w:rFonts w:ascii="仿宋" w:eastAsia="仿宋" w:hAnsi="仿宋" w:cs="FZXBSJW--GB1-0" w:hint="eastAsia"/>
          <w:color w:val="333333"/>
          <w:kern w:val="0"/>
          <w:sz w:val="32"/>
          <w:szCs w:val="32"/>
        </w:rPr>
        <w:t>4</w:t>
      </w:r>
      <w:r w:rsidRPr="00E30BB0">
        <w:rPr>
          <w:rFonts w:ascii="仿宋" w:eastAsia="仿宋" w:hAnsi="仿宋" w:cs="FZXBSJW--GB1-0" w:hint="eastAsia"/>
          <w:color w:val="333333"/>
          <w:kern w:val="0"/>
          <w:sz w:val="32"/>
          <w:szCs w:val="32"/>
        </w:rPr>
        <w:t>日</w:t>
      </w:r>
      <w:r w:rsidR="00321E5F">
        <w:rPr>
          <w:rFonts w:ascii="仿宋" w:eastAsia="仿宋" w:hAnsi="仿宋" w:cs="FZXBSJW--GB1-0" w:hint="eastAsia"/>
          <w:color w:val="333333"/>
          <w:kern w:val="0"/>
          <w:sz w:val="32"/>
          <w:szCs w:val="32"/>
        </w:rPr>
        <w:t xml:space="preserve">    </w:t>
      </w:r>
    </w:p>
    <w:p w:rsidR="00A075B7" w:rsidRPr="00E5712E" w:rsidRDefault="00A075B7" w:rsidP="00BA6D92">
      <w:pPr>
        <w:autoSpaceDE w:val="0"/>
        <w:autoSpaceDN w:val="0"/>
        <w:adjustRightInd w:val="0"/>
        <w:rPr>
          <w:rFonts w:ascii="仿宋" w:eastAsia="仿宋" w:hAnsi="仿宋" w:cs="FZXBSJW--GB1-0"/>
          <w:color w:val="333333"/>
          <w:kern w:val="0"/>
          <w:sz w:val="32"/>
          <w:szCs w:val="32"/>
        </w:rPr>
      </w:pPr>
    </w:p>
    <w:p w:rsidR="00321E5F" w:rsidRDefault="00E5712E" w:rsidP="00E5712E">
      <w:pPr>
        <w:autoSpaceDE w:val="0"/>
        <w:autoSpaceDN w:val="0"/>
        <w:adjustRightInd w:val="0"/>
        <w:jc w:val="center"/>
        <w:rPr>
          <w:rFonts w:ascii="仿宋" w:eastAsia="仿宋" w:hAnsi="仿宋" w:cs="FZXBSJW--GB1-0" w:hint="eastAsia"/>
          <w:color w:val="000000"/>
          <w:kern w:val="0"/>
          <w:sz w:val="32"/>
          <w:szCs w:val="32"/>
        </w:rPr>
      </w:pPr>
      <w:r w:rsidRPr="00E5712E">
        <w:rPr>
          <w:rFonts w:ascii="仿宋" w:eastAsia="仿宋" w:hAnsi="仿宋" w:cs="FZXBSJW--GB1-0" w:hint="eastAsia"/>
          <w:color w:val="000000"/>
          <w:kern w:val="0"/>
          <w:sz w:val="32"/>
          <w:szCs w:val="32"/>
        </w:rPr>
        <w:t>汕头市人民政府关于贯彻《国有土地上</w:t>
      </w:r>
    </w:p>
    <w:p w:rsidR="00E5712E" w:rsidRDefault="00E5712E" w:rsidP="00E5712E">
      <w:pPr>
        <w:autoSpaceDE w:val="0"/>
        <w:autoSpaceDN w:val="0"/>
        <w:adjustRightInd w:val="0"/>
        <w:jc w:val="center"/>
        <w:rPr>
          <w:rFonts w:ascii="仿宋" w:eastAsia="仿宋" w:hAnsi="仿宋" w:cs="FZXBSJW--GB1-0" w:hint="eastAsia"/>
          <w:color w:val="000000"/>
          <w:kern w:val="0"/>
          <w:sz w:val="32"/>
          <w:szCs w:val="32"/>
        </w:rPr>
      </w:pPr>
      <w:r w:rsidRPr="00E5712E">
        <w:rPr>
          <w:rFonts w:ascii="仿宋" w:eastAsia="仿宋" w:hAnsi="仿宋" w:cs="FZXBSJW--GB1-0" w:hint="eastAsia"/>
          <w:color w:val="000000"/>
          <w:kern w:val="0"/>
          <w:sz w:val="32"/>
          <w:szCs w:val="32"/>
        </w:rPr>
        <w:t>房屋征收与补偿条例》的意见</w:t>
      </w:r>
    </w:p>
    <w:p w:rsidR="00321E5F" w:rsidRPr="00E5712E" w:rsidRDefault="00321E5F" w:rsidP="00E5712E">
      <w:pPr>
        <w:autoSpaceDE w:val="0"/>
        <w:autoSpaceDN w:val="0"/>
        <w:adjustRightInd w:val="0"/>
        <w:jc w:val="center"/>
        <w:rPr>
          <w:rFonts w:ascii="仿宋" w:eastAsia="仿宋" w:hAnsi="仿宋" w:cs="FZXBSJW--GB1-0"/>
          <w:color w:val="000000"/>
          <w:kern w:val="0"/>
          <w:sz w:val="32"/>
          <w:szCs w:val="32"/>
        </w:rPr>
      </w:pP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为规范国有土地上房屋征收与补偿活动，维护公共利益，保障被征收房屋所有权人的合法权益和城市建设的顺利实施，根据《国有土地上房屋征收与补偿条例》（国务院令第</w:t>
      </w:r>
      <w:r w:rsidRPr="00E5712E">
        <w:rPr>
          <w:rFonts w:ascii="仿宋" w:eastAsia="仿宋" w:hAnsi="仿宋" w:cs="TimesNewRomanPSMT"/>
          <w:color w:val="333333"/>
          <w:kern w:val="0"/>
          <w:sz w:val="32"/>
          <w:szCs w:val="32"/>
        </w:rPr>
        <w:t xml:space="preserve">590 </w:t>
      </w:r>
      <w:r w:rsidRPr="00E5712E">
        <w:rPr>
          <w:rFonts w:ascii="仿宋" w:eastAsia="仿宋" w:hAnsi="仿宋" w:cs="仿宋_GB2312" w:hint="eastAsia"/>
          <w:color w:val="333333"/>
          <w:kern w:val="0"/>
          <w:sz w:val="32"/>
          <w:szCs w:val="32"/>
        </w:rPr>
        <w:t>号，以下简称《条例》），结合我市实际，现提出如下贯彻意见：一、认真学习，充分认识《条例》颁布的重要意义。《条例》的颁布实施，是规范国有土地上房屋征收与补偿活动、保障被征收人合法权益的重要举措，也是深入贯彻落实科学发展观、促进经济社会全面协调可持续发展、构建</w:t>
      </w:r>
      <w:r w:rsidRPr="00E5712E">
        <w:rPr>
          <w:rFonts w:ascii="仿宋" w:eastAsia="仿宋" w:hAnsi="仿宋" w:cs="仿宋_GB2312" w:hint="eastAsia"/>
          <w:color w:val="333333"/>
          <w:kern w:val="0"/>
          <w:sz w:val="32"/>
          <w:szCs w:val="32"/>
        </w:rPr>
        <w:lastRenderedPageBreak/>
        <w:t>和谐社会的必然要求。各地、各有关单位要认真领会、准确把握《条例》的精神和内容，全面落实《条例》各项规定，加快建立以政府为主体、房屋征收部门组织实施、房屋征收实施单位承担具体工作的房屋征收与补偿工作机制，坚持“决策民主、程序正当、结果公开”的原则，强化统筹协调，改进工作思路，制定完善的各项配套政策和具体措施。</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二、明确征收管理体制，落实工作责任主体</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一）征收责任体制。市政府负责国家、省、市重点项目，市管基础设施建设项目和公益性项目，跨区（县）项目以及市政府认为需要统筹的项目的房屋征收与补偿工作；各区县人民政府负责除市直接组织实施的项目外的其辖区范围内房屋征收与补偿工作。</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（二）房屋征收部门。市房屋征收办公室为市房屋征收部门，负责组织实施本市范围内由市政府作出房屋征收决定的房屋征收与补偿工作，并对各区县房屋征收部门的房屋征收与补偿工作实施指导、监督。</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各区县人民政府要切实加强对本辖区内国有土地上房屋征收与补偿工作的组织领导，建立健全相应的工作机制，明确房屋征收部门及其职责；落实房屋征收部门的机构建设和人员配备，确保征收工作的正常开展。</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（三）房屋征收实施单位。房屋征收部门可以委托房屋征收实施单位承担房屋征收与补偿的具体工作。房屋征收部</w:t>
      </w:r>
      <w:r w:rsidRPr="00E5712E">
        <w:rPr>
          <w:rFonts w:ascii="仿宋" w:eastAsia="仿宋" w:hAnsi="仿宋" w:cs="仿宋_GB2312" w:hint="eastAsia"/>
          <w:color w:val="333333"/>
          <w:kern w:val="0"/>
          <w:sz w:val="32"/>
          <w:szCs w:val="32"/>
        </w:rPr>
        <w:lastRenderedPageBreak/>
        <w:t>门对房屋征收实施单位在委托范围内实施的房屋征收与补偿行为负责监督，并对其行为后果承担法律责任。房屋征收实施单位不得以营利为目的。</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在未明确市房屋征收实施单位前，市房屋征收部门可以委托区县房屋征收部门作为项目征收实施单位。市政府确定征收补偿方案前，前期工作由市房屋征收部门具体承担；房屋征收补偿方案确定后，</w:t>
      </w:r>
      <w:r w:rsidRPr="00E5712E">
        <w:rPr>
          <w:rFonts w:ascii="仿宋" w:eastAsia="仿宋" w:hAnsi="仿宋" w:cs="仿宋_GB2312"/>
          <w:color w:val="333333"/>
          <w:kern w:val="0"/>
          <w:sz w:val="32"/>
          <w:szCs w:val="32"/>
        </w:rPr>
        <w:t xml:space="preserve"> </w:t>
      </w:r>
      <w:r w:rsidRPr="00E5712E">
        <w:rPr>
          <w:rFonts w:ascii="仿宋" w:eastAsia="仿宋" w:hAnsi="仿宋" w:cs="仿宋_GB2312" w:hint="eastAsia"/>
          <w:color w:val="333333"/>
          <w:kern w:val="0"/>
          <w:sz w:val="32"/>
          <w:szCs w:val="32"/>
        </w:rPr>
        <w:t>具体工作由区县房屋征收部门承担。</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（四）发展和改革、住房和城乡建设、城乡规划、国土资源、财政、审计、公安、监察等部门应当按照职能分工，支持、配合、监督房屋征收与补偿工作。</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三、严格征收项目确定，编制房屋征收计划。各区县人民政府应当从本辖区经济社会发展的实际出发，根据本辖区国民经济和社会发展规划、土地利用总体规划、城乡规划和专项规划编制年度房屋征收计划，并于每年</w:t>
      </w:r>
      <w:r w:rsidRPr="00E5712E">
        <w:rPr>
          <w:rFonts w:ascii="仿宋" w:eastAsia="仿宋" w:hAnsi="仿宋" w:cs="TimesNewRomanPSMT"/>
          <w:color w:val="333333"/>
          <w:kern w:val="0"/>
          <w:sz w:val="32"/>
          <w:szCs w:val="32"/>
        </w:rPr>
        <w:t xml:space="preserve">10 </w:t>
      </w:r>
      <w:r w:rsidRPr="00E5712E">
        <w:rPr>
          <w:rFonts w:ascii="仿宋" w:eastAsia="仿宋" w:hAnsi="仿宋" w:cs="仿宋_GB2312" w:hint="eastAsia"/>
          <w:color w:val="333333"/>
          <w:kern w:val="0"/>
          <w:sz w:val="32"/>
          <w:szCs w:val="32"/>
        </w:rPr>
        <w:t>月</w:t>
      </w:r>
      <w:r w:rsidRPr="00E5712E">
        <w:rPr>
          <w:rFonts w:ascii="仿宋" w:eastAsia="仿宋" w:hAnsi="仿宋" w:cs="TimesNewRomanPSMT"/>
          <w:color w:val="333333"/>
          <w:kern w:val="0"/>
          <w:sz w:val="32"/>
          <w:szCs w:val="32"/>
        </w:rPr>
        <w:t xml:space="preserve">31 </w:t>
      </w:r>
      <w:r w:rsidRPr="00E5712E">
        <w:rPr>
          <w:rFonts w:ascii="仿宋" w:eastAsia="仿宋" w:hAnsi="仿宋" w:cs="仿宋_GB2312" w:hint="eastAsia"/>
          <w:color w:val="333333"/>
          <w:kern w:val="0"/>
          <w:sz w:val="32"/>
          <w:szCs w:val="32"/>
        </w:rPr>
        <w:t>日前将本辖区下一年度的房屋征收计划报送市房屋征收部门。市房屋征收部门汇总各区县的年度房屋征收计划，并会同市发展和改革、财政、国土资源、住房和城乡建设、城乡规划、房产管理等部门编制市年度房屋征收计划，报市政府批准。</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四、严格执行征收决定法定程序。市、区县房屋征收部门要有计划、有步骤地开展房屋征收工作。依照《条例》规定拟定征收补偿方案，依法做好征收补偿方案征求意见、修</w:t>
      </w:r>
      <w:r w:rsidRPr="00E5712E">
        <w:rPr>
          <w:rFonts w:ascii="仿宋" w:eastAsia="仿宋" w:hAnsi="仿宋" w:cs="仿宋_GB2312" w:hint="eastAsia"/>
          <w:color w:val="333333"/>
          <w:kern w:val="0"/>
          <w:sz w:val="32"/>
          <w:szCs w:val="32"/>
        </w:rPr>
        <w:lastRenderedPageBreak/>
        <w:t>改完善及公开工作，按规定组织召开被征收人和公众代表参加的听证会。征收补偿方案应当包括：房屋征收目的和范围，征收范围内房屋调查基本情况，补偿安置的方式和标准，签约期限，补助奖励办法，产权调换房屋的地点和面积，搬迁补助费，临时安置补助费或者周转用房标准、过渡期限、搬迁期限等。政府在作出房屋征收决定前，由房屋征收部门按规定开展社会稳定风险评估；涉及被征收人数量较多的或者其他重大复杂项目，应当经政府常务会议讨论决定；征收补偿费用要确保足额到位、专户存储、专款专用。</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五、合理确定房屋征收补偿标准。对被征收人的补偿包括被征收房屋价值的补偿、因征收房屋造成的搬迁和临时安置的补偿以及停产停业损失的补偿。对被征收房屋价值的补偿，不得低于房屋征收决定公告之日被征收房屋类似房地产的市场价格。房地产评估机构要独立、客观、公正地评估确定被征收房屋的价值，任何单位和个人不得干预。各地要加强房地产价格评估专家委员会的建设，各相关单位要支持有关被征收房屋价格评估的鉴定工作，确保房地产价格评估专家委员会公正履行职责。因房屋征收造成的停产停业损失及搬迁、临时安置的补偿，分别按省、市政府制定的具体办法确定。</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六、实行征收补助和搬迁时限奖励。房屋征收要对被征收人给予征收补助和搬迁时限奖励，征收补助、搬迁时限奖</w:t>
      </w:r>
      <w:r w:rsidRPr="00E5712E">
        <w:rPr>
          <w:rFonts w:ascii="仿宋" w:eastAsia="仿宋" w:hAnsi="仿宋" w:cs="仿宋_GB2312" w:hint="eastAsia"/>
          <w:color w:val="333333"/>
          <w:kern w:val="0"/>
          <w:sz w:val="32"/>
          <w:szCs w:val="32"/>
        </w:rPr>
        <w:lastRenderedPageBreak/>
        <w:t>励的具体办法，由房屋征收部门根据项目具体情况制定于征收补偿方案中，与方案一并报作出征收决定的市或区县人民政府批准。</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七、依法实施补偿和搬迁。房屋征收部门在实施房屋征收时，要坚持先补偿、后搬迁的原则，保障被征收人合法权益，确保房屋征收工作平稳实施。要切实做好房屋征收补偿的相关工作，确保房屋征收部门与被征收人在公开、公正、公平的前提下订立补偿协议。房屋征收部门与被征收人在征收补偿方案确定的签约期限内达不成补偿协议或者被征收房屋所有权人不明确的，房屋征收部门要报请作出房屋征收决定的市或区县人民政府依照《条例》规定作出补偿决定，并予以公告。对被征收人在法定期限内不依法申请行政复议或者不提起行政诉讼，在补偿决定规定的期限内又不搬迁的，由作出房屋征收决定的市或区县人民政府依法申请人民法院强制执行。</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八、做好宣传，确保房屋征收工作顺利开展。市、区县房屋征收部门要通过多种形式宣传和解释《条例》及相关的政策措施，使征收实施单位、被征收人知法懂法，确保依法、有序做好国有土地上房屋征收与补偿工作。</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九、妥善做好房屋征收与拆迁工作的衔接，确保房屋征收和拆迁工作平稳推进。各地、各有关部门在研究拟定房屋征收体制、实施方式时，涉及行政机关职责调整、实施单位</w:t>
      </w:r>
      <w:r w:rsidRPr="00E5712E">
        <w:rPr>
          <w:rFonts w:ascii="仿宋" w:eastAsia="仿宋" w:hAnsi="仿宋" w:cs="仿宋_GB2312" w:hint="eastAsia"/>
          <w:color w:val="333333"/>
          <w:kern w:val="0"/>
          <w:sz w:val="32"/>
          <w:szCs w:val="32"/>
        </w:rPr>
        <w:lastRenderedPageBreak/>
        <w:t>工作任务发生变化的，要确定原履行职责和工作任务的承接单位，确保原已依法取得房屋拆迁许可证但未实施完毕的项目继续平稳实施。各区县人民政府、市房屋征收部门要对未实施完毕的原房屋拆迁项目进行全面统计，并根据项目进展情况和有关问题等因素制定工作方案措施，按照《条例》规定依法妥善处理好拆迁与征收工作的过渡衔接。</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十、关于搬迁补助费标准和临时安置补助费计算方法以及征收补助和搬迁时限奖励幅度控制问题。在我市出台有关国有土地上房屋征收与补偿具体办法前，暂按下列标准和措施执行：</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（一）征收住宅房屋的搬迁补助费。家庭常住或实际居住户口为</w:t>
      </w:r>
      <w:r w:rsidRPr="00E5712E">
        <w:rPr>
          <w:rFonts w:ascii="仿宋" w:eastAsia="仿宋" w:hAnsi="仿宋" w:cs="TimesNewRomanPSMT"/>
          <w:color w:val="333333"/>
          <w:kern w:val="0"/>
          <w:sz w:val="32"/>
          <w:szCs w:val="32"/>
        </w:rPr>
        <w:t xml:space="preserve">5 </w:t>
      </w:r>
      <w:r w:rsidRPr="00E5712E">
        <w:rPr>
          <w:rFonts w:ascii="仿宋" w:eastAsia="仿宋" w:hAnsi="仿宋" w:cs="仿宋_GB2312" w:hint="eastAsia"/>
          <w:color w:val="333333"/>
          <w:kern w:val="0"/>
          <w:sz w:val="32"/>
          <w:szCs w:val="32"/>
        </w:rPr>
        <w:t>人（含</w:t>
      </w:r>
      <w:r w:rsidRPr="00E5712E">
        <w:rPr>
          <w:rFonts w:ascii="仿宋" w:eastAsia="仿宋" w:hAnsi="仿宋" w:cs="TimesNewRomanPSMT"/>
          <w:color w:val="333333"/>
          <w:kern w:val="0"/>
          <w:sz w:val="32"/>
          <w:szCs w:val="32"/>
        </w:rPr>
        <w:t xml:space="preserve">5 </w:t>
      </w:r>
      <w:r w:rsidRPr="00E5712E">
        <w:rPr>
          <w:rFonts w:ascii="仿宋" w:eastAsia="仿宋" w:hAnsi="仿宋" w:cs="仿宋_GB2312" w:hint="eastAsia"/>
          <w:color w:val="333333"/>
          <w:kern w:val="0"/>
          <w:sz w:val="32"/>
          <w:szCs w:val="32"/>
        </w:rPr>
        <w:t>人）以上的，按每户</w:t>
      </w:r>
      <w:r w:rsidRPr="00E5712E">
        <w:rPr>
          <w:rFonts w:ascii="仿宋" w:eastAsia="仿宋" w:hAnsi="仿宋" w:cs="TimesNewRomanPSMT"/>
          <w:color w:val="333333"/>
          <w:kern w:val="0"/>
          <w:sz w:val="32"/>
          <w:szCs w:val="32"/>
        </w:rPr>
        <w:t xml:space="preserve">2000 </w:t>
      </w:r>
      <w:r w:rsidRPr="00E5712E">
        <w:rPr>
          <w:rFonts w:ascii="仿宋" w:eastAsia="仿宋" w:hAnsi="仿宋" w:cs="仿宋_GB2312" w:hint="eastAsia"/>
          <w:color w:val="333333"/>
          <w:kern w:val="0"/>
          <w:sz w:val="32"/>
          <w:szCs w:val="32"/>
        </w:rPr>
        <w:t>元一次性付给，</w:t>
      </w:r>
      <w:r w:rsidRPr="00E5712E">
        <w:rPr>
          <w:rFonts w:ascii="仿宋" w:eastAsia="仿宋" w:hAnsi="仿宋" w:cs="TimesNewRomanPSMT"/>
          <w:color w:val="333333"/>
          <w:kern w:val="0"/>
          <w:sz w:val="32"/>
          <w:szCs w:val="32"/>
        </w:rPr>
        <w:t>5</w:t>
      </w:r>
      <w:r w:rsidRPr="00E5712E">
        <w:rPr>
          <w:rFonts w:ascii="仿宋" w:eastAsia="仿宋" w:hAnsi="仿宋" w:cs="仿宋_GB2312" w:hint="eastAsia"/>
          <w:color w:val="333333"/>
          <w:kern w:val="0"/>
          <w:sz w:val="32"/>
          <w:szCs w:val="32"/>
        </w:rPr>
        <w:t>人以下的每减少</w:t>
      </w:r>
      <w:r w:rsidRPr="00E5712E">
        <w:rPr>
          <w:rFonts w:ascii="仿宋" w:eastAsia="仿宋" w:hAnsi="仿宋" w:cs="TimesNewRomanPSMT"/>
          <w:color w:val="333333"/>
          <w:kern w:val="0"/>
          <w:sz w:val="32"/>
          <w:szCs w:val="32"/>
        </w:rPr>
        <w:t xml:space="preserve">1 </w:t>
      </w:r>
      <w:r w:rsidRPr="00E5712E">
        <w:rPr>
          <w:rFonts w:ascii="仿宋" w:eastAsia="仿宋" w:hAnsi="仿宋" w:cs="仿宋_GB2312" w:hint="eastAsia"/>
          <w:color w:val="333333"/>
          <w:kern w:val="0"/>
          <w:sz w:val="32"/>
          <w:szCs w:val="32"/>
        </w:rPr>
        <w:t>人少支付</w:t>
      </w:r>
      <w:r w:rsidRPr="00E5712E">
        <w:rPr>
          <w:rFonts w:ascii="仿宋" w:eastAsia="仿宋" w:hAnsi="仿宋" w:cs="TimesNewRomanPSMT"/>
          <w:color w:val="333333"/>
          <w:kern w:val="0"/>
          <w:sz w:val="32"/>
          <w:szCs w:val="32"/>
        </w:rPr>
        <w:t xml:space="preserve">200 </w:t>
      </w:r>
      <w:r w:rsidRPr="00E5712E">
        <w:rPr>
          <w:rFonts w:ascii="仿宋" w:eastAsia="仿宋" w:hAnsi="仿宋" w:cs="仿宋_GB2312" w:hint="eastAsia"/>
          <w:color w:val="333333"/>
          <w:kern w:val="0"/>
          <w:sz w:val="32"/>
          <w:szCs w:val="32"/>
        </w:rPr>
        <w:t>元。</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二）征收住宅房屋的临时安置补助费。按被征收房屋建筑面积和被征收房屋所处区位同类房屋的市场月租金计算月标准。实行货币补偿的，按三个月支付临时安置补助费；实行产权调换，且被征收人或房屋承租人自行安排住处的，支付临时安置补助费的时间自被征收人搬迁之月起至房屋征收部门通知被征收人办理产权调换房屋交接手续后的第三个月止。被征收人在被征收房屋居住，它处无住房，家庭常住或实际居住户口</w:t>
      </w:r>
      <w:r w:rsidRPr="00E5712E">
        <w:rPr>
          <w:rFonts w:ascii="仿宋" w:eastAsia="仿宋" w:hAnsi="仿宋" w:cs="TimesNewRomanPSMT"/>
          <w:color w:val="333333"/>
          <w:kern w:val="0"/>
          <w:sz w:val="32"/>
          <w:szCs w:val="32"/>
        </w:rPr>
        <w:t>3</w:t>
      </w:r>
      <w:r w:rsidRPr="00E5712E">
        <w:rPr>
          <w:rFonts w:ascii="仿宋" w:eastAsia="仿宋" w:hAnsi="仿宋" w:cs="仿宋_GB2312" w:hint="eastAsia"/>
          <w:color w:val="333333"/>
          <w:kern w:val="0"/>
          <w:sz w:val="32"/>
          <w:szCs w:val="32"/>
        </w:rPr>
        <w:t>人（含）以上且被征收房屋面积不足</w:t>
      </w:r>
      <w:r w:rsidRPr="00E5712E">
        <w:rPr>
          <w:rFonts w:ascii="仿宋" w:eastAsia="仿宋" w:hAnsi="仿宋" w:cs="TimesNewRomanPSMT"/>
          <w:color w:val="333333"/>
          <w:kern w:val="0"/>
          <w:sz w:val="32"/>
          <w:szCs w:val="32"/>
        </w:rPr>
        <w:t xml:space="preserve">40 </w:t>
      </w:r>
      <w:r w:rsidRPr="00E5712E">
        <w:rPr>
          <w:rFonts w:ascii="仿宋" w:eastAsia="仿宋" w:hAnsi="仿宋" w:cs="仿宋_GB2312" w:hint="eastAsia"/>
          <w:color w:val="333333"/>
          <w:kern w:val="0"/>
          <w:sz w:val="32"/>
          <w:szCs w:val="32"/>
        </w:rPr>
        <w:t>平方米的，可按</w:t>
      </w:r>
      <w:r w:rsidRPr="00E5712E">
        <w:rPr>
          <w:rFonts w:ascii="仿宋" w:eastAsia="仿宋" w:hAnsi="仿宋" w:cs="TimesNewRomanPSMT"/>
          <w:color w:val="333333"/>
          <w:kern w:val="0"/>
          <w:sz w:val="32"/>
          <w:szCs w:val="32"/>
        </w:rPr>
        <w:t xml:space="preserve">40 </w:t>
      </w:r>
      <w:r w:rsidRPr="00E5712E">
        <w:rPr>
          <w:rFonts w:ascii="仿宋" w:eastAsia="仿宋" w:hAnsi="仿宋" w:cs="仿宋_GB2312" w:hint="eastAsia"/>
          <w:color w:val="333333"/>
          <w:kern w:val="0"/>
          <w:sz w:val="32"/>
          <w:szCs w:val="32"/>
        </w:rPr>
        <w:t>平方米计算临时安置补助费。</w:t>
      </w:r>
    </w:p>
    <w:p w:rsidR="00E5712E"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lastRenderedPageBreak/>
        <w:t>（三）征收补助和搬迁时限奖励的幅度，分别控制在被征收房屋类似房地产市场评估价值的</w:t>
      </w:r>
      <w:r w:rsidRPr="00E5712E">
        <w:rPr>
          <w:rFonts w:ascii="仿宋" w:eastAsia="仿宋" w:hAnsi="仿宋" w:cs="TimesNewRomanPSMT"/>
          <w:color w:val="333333"/>
          <w:kern w:val="0"/>
          <w:sz w:val="32"/>
          <w:szCs w:val="32"/>
        </w:rPr>
        <w:t>15%</w:t>
      </w:r>
      <w:r w:rsidRPr="00E5712E">
        <w:rPr>
          <w:rFonts w:ascii="仿宋" w:eastAsia="仿宋" w:hAnsi="仿宋" w:cs="仿宋_GB2312" w:hint="eastAsia"/>
          <w:color w:val="333333"/>
          <w:kern w:val="0"/>
          <w:sz w:val="32"/>
          <w:szCs w:val="32"/>
        </w:rPr>
        <w:t>和</w:t>
      </w:r>
      <w:r w:rsidRPr="00E5712E">
        <w:rPr>
          <w:rFonts w:ascii="仿宋" w:eastAsia="仿宋" w:hAnsi="仿宋" w:cs="TimesNewRomanPSMT"/>
          <w:color w:val="333333"/>
          <w:kern w:val="0"/>
          <w:sz w:val="32"/>
          <w:szCs w:val="32"/>
        </w:rPr>
        <w:t>10%</w:t>
      </w:r>
      <w:r w:rsidRPr="00E5712E">
        <w:rPr>
          <w:rFonts w:ascii="仿宋" w:eastAsia="仿宋" w:hAnsi="仿宋" w:cs="仿宋_GB2312" w:hint="eastAsia"/>
          <w:color w:val="333333"/>
          <w:kern w:val="0"/>
          <w:sz w:val="32"/>
          <w:szCs w:val="32"/>
        </w:rPr>
        <w:t>以内。</w:t>
      </w:r>
    </w:p>
    <w:p w:rsidR="00C849D5" w:rsidRPr="00E5712E" w:rsidRDefault="00E5712E" w:rsidP="00321E5F">
      <w:pPr>
        <w:autoSpaceDE w:val="0"/>
        <w:autoSpaceDN w:val="0"/>
        <w:adjustRightInd w:val="0"/>
        <w:ind w:firstLineChars="221" w:firstLine="707"/>
        <w:jc w:val="left"/>
        <w:rPr>
          <w:rFonts w:ascii="仿宋" w:eastAsia="仿宋" w:hAnsi="仿宋" w:cs="仿宋_GB2312"/>
          <w:color w:val="333333"/>
          <w:kern w:val="0"/>
          <w:sz w:val="32"/>
          <w:szCs w:val="32"/>
        </w:rPr>
      </w:pPr>
      <w:r w:rsidRPr="00E5712E">
        <w:rPr>
          <w:rFonts w:ascii="仿宋" w:eastAsia="仿宋" w:hAnsi="仿宋" w:cs="仿宋_GB2312" w:hint="eastAsia"/>
          <w:color w:val="333333"/>
          <w:kern w:val="0"/>
          <w:sz w:val="32"/>
          <w:szCs w:val="32"/>
        </w:rPr>
        <w:t>十一、本《意见》自</w:t>
      </w:r>
      <w:r w:rsidRPr="00E5712E">
        <w:rPr>
          <w:rFonts w:ascii="仿宋" w:eastAsia="仿宋" w:hAnsi="仿宋" w:cs="TimesNewRomanPSMT"/>
          <w:color w:val="333333"/>
          <w:kern w:val="0"/>
          <w:sz w:val="32"/>
          <w:szCs w:val="32"/>
        </w:rPr>
        <w:t xml:space="preserve">2015 </w:t>
      </w:r>
      <w:r w:rsidRPr="00E5712E">
        <w:rPr>
          <w:rFonts w:ascii="仿宋" w:eastAsia="仿宋" w:hAnsi="仿宋" w:cs="仿宋_GB2312" w:hint="eastAsia"/>
          <w:color w:val="333333"/>
          <w:kern w:val="0"/>
          <w:sz w:val="32"/>
          <w:szCs w:val="32"/>
        </w:rPr>
        <w:t>年</w:t>
      </w:r>
      <w:r w:rsidRPr="00E5712E">
        <w:rPr>
          <w:rFonts w:ascii="仿宋" w:eastAsia="仿宋" w:hAnsi="仿宋" w:cs="TimesNewRomanPSMT"/>
          <w:color w:val="333333"/>
          <w:kern w:val="0"/>
          <w:sz w:val="32"/>
          <w:szCs w:val="32"/>
        </w:rPr>
        <w:t xml:space="preserve">9 </w:t>
      </w:r>
      <w:r w:rsidRPr="00E5712E">
        <w:rPr>
          <w:rFonts w:ascii="仿宋" w:eastAsia="仿宋" w:hAnsi="仿宋" w:cs="仿宋_GB2312" w:hint="eastAsia"/>
          <w:color w:val="333333"/>
          <w:kern w:val="0"/>
          <w:sz w:val="32"/>
          <w:szCs w:val="32"/>
        </w:rPr>
        <w:t>月</w:t>
      </w:r>
      <w:r w:rsidRPr="00E5712E">
        <w:rPr>
          <w:rFonts w:ascii="仿宋" w:eastAsia="仿宋" w:hAnsi="仿宋" w:cs="TimesNewRomanPSMT"/>
          <w:color w:val="333333"/>
          <w:kern w:val="0"/>
          <w:sz w:val="32"/>
          <w:szCs w:val="32"/>
        </w:rPr>
        <w:t xml:space="preserve">13 </w:t>
      </w:r>
      <w:r w:rsidRPr="00E5712E">
        <w:rPr>
          <w:rFonts w:ascii="仿宋" w:eastAsia="仿宋" w:hAnsi="仿宋" w:cs="仿宋_GB2312" w:hint="eastAsia"/>
          <w:color w:val="333333"/>
          <w:kern w:val="0"/>
          <w:sz w:val="32"/>
          <w:szCs w:val="32"/>
        </w:rPr>
        <w:t>日起施行，有效期至</w:t>
      </w:r>
      <w:r w:rsidRPr="00E5712E">
        <w:rPr>
          <w:rFonts w:ascii="仿宋" w:eastAsia="仿宋" w:hAnsi="仿宋" w:cs="TimesNewRomanPSMT"/>
          <w:color w:val="333333"/>
          <w:kern w:val="0"/>
          <w:sz w:val="32"/>
          <w:szCs w:val="32"/>
        </w:rPr>
        <w:t xml:space="preserve">2020 </w:t>
      </w:r>
      <w:r w:rsidRPr="00E5712E">
        <w:rPr>
          <w:rFonts w:ascii="仿宋" w:eastAsia="仿宋" w:hAnsi="仿宋" w:cs="仿宋_GB2312" w:hint="eastAsia"/>
          <w:color w:val="333333"/>
          <w:kern w:val="0"/>
          <w:sz w:val="32"/>
          <w:szCs w:val="32"/>
        </w:rPr>
        <w:t>年</w:t>
      </w:r>
      <w:r w:rsidRPr="00E5712E">
        <w:rPr>
          <w:rFonts w:ascii="仿宋" w:eastAsia="仿宋" w:hAnsi="仿宋" w:cs="TimesNewRomanPSMT"/>
          <w:color w:val="333333"/>
          <w:kern w:val="0"/>
          <w:sz w:val="32"/>
          <w:szCs w:val="32"/>
        </w:rPr>
        <w:t xml:space="preserve">9 </w:t>
      </w:r>
      <w:r w:rsidRPr="00E5712E">
        <w:rPr>
          <w:rFonts w:ascii="仿宋" w:eastAsia="仿宋" w:hAnsi="仿宋" w:cs="仿宋_GB2312" w:hint="eastAsia"/>
          <w:color w:val="333333"/>
          <w:kern w:val="0"/>
          <w:sz w:val="32"/>
          <w:szCs w:val="32"/>
        </w:rPr>
        <w:t>月</w:t>
      </w:r>
      <w:r w:rsidRPr="00E5712E">
        <w:rPr>
          <w:rFonts w:ascii="仿宋" w:eastAsia="仿宋" w:hAnsi="仿宋" w:cs="TimesNewRomanPSMT"/>
          <w:color w:val="333333"/>
          <w:kern w:val="0"/>
          <w:sz w:val="32"/>
          <w:szCs w:val="32"/>
        </w:rPr>
        <w:t xml:space="preserve">12 </w:t>
      </w:r>
      <w:r w:rsidRPr="00E5712E">
        <w:rPr>
          <w:rFonts w:ascii="仿宋" w:eastAsia="仿宋" w:hAnsi="仿宋" w:cs="仿宋_GB2312" w:hint="eastAsia"/>
          <w:color w:val="333333"/>
          <w:kern w:val="0"/>
          <w:sz w:val="32"/>
          <w:szCs w:val="32"/>
        </w:rPr>
        <w:t>日止。有效期届满或政策、法规变化，根据实施情况依法评估修订。</w:t>
      </w:r>
    </w:p>
    <w:sectPr w:rsidR="00C849D5" w:rsidRPr="00E5712E" w:rsidSect="00C84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08" w:rsidRDefault="00475A08" w:rsidP="00A457C5">
      <w:r>
        <w:separator/>
      </w:r>
    </w:p>
  </w:endnote>
  <w:endnote w:type="continuationSeparator" w:id="1">
    <w:p w:rsidR="00475A08" w:rsidRDefault="00475A08" w:rsidP="00A45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ZXBSJW--GB1-0">
    <w:altName w:val="方正舒体"/>
    <w:panose1 w:val="00000000000000000000"/>
    <w:charset w:val="86"/>
    <w:family w:val="auto"/>
    <w:notTrueType/>
    <w:pitch w:val="default"/>
    <w:sig w:usb0="00000001" w:usb1="080E0000" w:usb2="00000010" w:usb3="00000000" w:csb0="00040000" w:csb1="00000000"/>
  </w:font>
  <w:font w:name="仿宋_GB2312">
    <w:altName w:val="方正舒体"/>
    <w:panose1 w:val="00000000000000000000"/>
    <w:charset w:val="86"/>
    <w:family w:val="auto"/>
    <w:notTrueType/>
    <w:pitch w:val="default"/>
    <w:sig w:usb0="00000001" w:usb1="080E0000" w:usb2="00000010" w:usb3="00000000" w:csb0="00040000"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08" w:rsidRDefault="00475A08" w:rsidP="00A457C5">
      <w:r>
        <w:separator/>
      </w:r>
    </w:p>
  </w:footnote>
  <w:footnote w:type="continuationSeparator" w:id="1">
    <w:p w:rsidR="00475A08" w:rsidRDefault="00475A08" w:rsidP="00A45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5B7"/>
    <w:rsid w:val="00321E5F"/>
    <w:rsid w:val="00475A08"/>
    <w:rsid w:val="00A075B7"/>
    <w:rsid w:val="00A457C5"/>
    <w:rsid w:val="00BA6D92"/>
    <w:rsid w:val="00C80B03"/>
    <w:rsid w:val="00C849D5"/>
    <w:rsid w:val="00C963A2"/>
    <w:rsid w:val="00DF7C68"/>
    <w:rsid w:val="00E30BB0"/>
    <w:rsid w:val="00E57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30BB0"/>
    <w:pPr>
      <w:ind w:leftChars="2500" w:left="100"/>
    </w:pPr>
  </w:style>
  <w:style w:type="character" w:customStyle="1" w:styleId="Char">
    <w:name w:val="日期 Char"/>
    <w:basedOn w:val="a0"/>
    <w:link w:val="a3"/>
    <w:uiPriority w:val="99"/>
    <w:semiHidden/>
    <w:rsid w:val="00E30BB0"/>
  </w:style>
  <w:style w:type="paragraph" w:styleId="a4">
    <w:name w:val="header"/>
    <w:basedOn w:val="a"/>
    <w:link w:val="Char0"/>
    <w:uiPriority w:val="99"/>
    <w:semiHidden/>
    <w:unhideWhenUsed/>
    <w:rsid w:val="00A45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457C5"/>
    <w:rPr>
      <w:sz w:val="18"/>
      <w:szCs w:val="18"/>
    </w:rPr>
  </w:style>
  <w:style w:type="paragraph" w:styleId="a5">
    <w:name w:val="footer"/>
    <w:basedOn w:val="a"/>
    <w:link w:val="Char1"/>
    <w:uiPriority w:val="99"/>
    <w:semiHidden/>
    <w:unhideWhenUsed/>
    <w:rsid w:val="00A457C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457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2016-10-10T08:44:00Z</dcterms:created>
  <dcterms:modified xsi:type="dcterms:W3CDTF">2016-10-10T08:51:00Z</dcterms:modified>
</cp:coreProperties>
</file>