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濠江区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2018年预算</w:t>
      </w:r>
      <w:r>
        <w:rPr>
          <w:rFonts w:hint="eastAsia" w:ascii="仿宋" w:hAnsi="仿宋" w:eastAsia="仿宋"/>
          <w:sz w:val="44"/>
          <w:szCs w:val="44"/>
        </w:rPr>
        <w:t>绩效工作推进情况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2018年继续加强绩效目标管理，提高项目绩效。预算编制过程中,要求各单位进一步增强绩效观念和责任意识，积极组织项目实施和绩效管理，切实提高财政资金使用效益。接下来将逐步完善制度建设，规范评价程序，探索建立部门、单位对财政支出使用情况自评、财政部门抽选复核制度，相应建立、完善绩效评价体系，将预算绩效的理念引入到财政支出管理中，使预算管理模式从投入控制预算转到效果导向预算，提升财政资金绩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697"/>
    <w:rsid w:val="003106CF"/>
    <w:rsid w:val="007F650D"/>
    <w:rsid w:val="00A04318"/>
    <w:rsid w:val="00A71697"/>
    <w:rsid w:val="6E3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2018-03-21T07:45:00Z</dcterms:created>
  <dc:creator>陈丽娜</dc:creator>
  <cp:lastModifiedBy>Administrator</cp:lastModifiedBy>
  <dcterms:modified xsi:type="dcterms:W3CDTF">2018-04-08T09:00:41Z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