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723" w:firstLineChars="200"/>
        <w:outlineLvl w:val="0"/>
        <w:rPr>
          <w:rFonts w:hint="eastAsia" w:ascii="宋体" w:hAnsi="宋体"/>
          <w:b/>
          <w:sz w:val="36"/>
          <w:szCs w:val="36"/>
        </w:rPr>
      </w:pPr>
    </w:p>
    <w:p>
      <w:pPr>
        <w:spacing w:line="288" w:lineRule="auto"/>
        <w:ind w:firstLine="723" w:firstLineChars="200"/>
        <w:outlineLvl w:val="0"/>
        <w:rPr>
          <w:rFonts w:hint="eastAsia" w:ascii="宋体" w:hAnsi="宋体" w:eastAsia="宋体"/>
          <w:b/>
          <w:sz w:val="36"/>
          <w:szCs w:val="36"/>
          <w:lang w:val="en-US" w:eastAsia="zh-CN"/>
        </w:rPr>
      </w:pPr>
      <w:r>
        <w:rPr>
          <w:rFonts w:hint="eastAsia" w:ascii="宋体" w:hAnsi="宋体"/>
          <w:b/>
          <w:sz w:val="36"/>
          <w:szCs w:val="36"/>
          <w:lang w:eastAsia="zh-CN"/>
        </w:rPr>
        <w:t>濠江区华桥小学</w:t>
      </w:r>
      <w:r>
        <w:rPr>
          <w:rFonts w:hint="eastAsia" w:ascii="宋体" w:hAnsi="宋体"/>
          <w:b/>
          <w:sz w:val="36"/>
          <w:szCs w:val="36"/>
          <w:lang w:val="en-US" w:eastAsia="zh-CN"/>
        </w:rPr>
        <w:t>2017年部门决算公开</w:t>
      </w:r>
    </w:p>
    <w:p>
      <w:pPr>
        <w:spacing w:line="288" w:lineRule="auto"/>
        <w:ind w:firstLine="720" w:firstLineChars="200"/>
        <w:outlineLvl w:val="0"/>
        <w:rPr>
          <w:rFonts w:ascii="宋体" w:hAnsi="宋体"/>
          <w:b w:val="0"/>
          <w:bCs/>
          <w:sz w:val="36"/>
          <w:szCs w:val="36"/>
        </w:rPr>
      </w:pPr>
      <w:r>
        <w:rPr>
          <w:rFonts w:hint="eastAsia" w:ascii="宋体" w:hAnsi="宋体"/>
          <w:b w:val="0"/>
          <w:bCs/>
          <w:sz w:val="36"/>
          <w:szCs w:val="36"/>
          <w:lang w:eastAsia="zh-CN"/>
        </w:rPr>
        <w:t>华桥小学</w:t>
      </w:r>
      <w:r>
        <w:rPr>
          <w:rFonts w:hint="eastAsia" w:ascii="宋体" w:hAnsi="宋体"/>
          <w:b w:val="0"/>
          <w:bCs/>
          <w:sz w:val="36"/>
          <w:szCs w:val="36"/>
        </w:rPr>
        <w:t>概况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（一）部门主要职责</w:t>
      </w:r>
    </w:p>
    <w:p>
      <w:pPr>
        <w:spacing w:line="288" w:lineRule="auto"/>
        <w:ind w:firstLine="640" w:firstLineChars="200"/>
        <w:rPr>
          <w:rFonts w:ascii="仿宋_GB2312" w:eastAsia="仿宋_GB2312"/>
          <w:sz w:val="32"/>
          <w:szCs w:val="32"/>
          <w:lang w:val="en-US"/>
        </w:rPr>
      </w:pPr>
      <w:r>
        <w:rPr>
          <w:rFonts w:hint="eastAsia" w:ascii="仿宋_GB2312" w:eastAsia="仿宋_GB2312"/>
          <w:sz w:val="32"/>
          <w:szCs w:val="32"/>
          <w:lang w:eastAsia="zh-CN"/>
        </w:rPr>
        <w:t>华桥小学</w:t>
      </w:r>
      <w:r>
        <w:rPr>
          <w:rFonts w:hint="eastAsia" w:ascii="仿宋_GB2312" w:eastAsia="仿宋_GB2312"/>
          <w:sz w:val="32"/>
          <w:szCs w:val="32"/>
          <w:lang w:val="en-US" w:eastAsia="zh-CN"/>
        </w:rPr>
        <w:t>是</w:t>
      </w:r>
      <w:r>
        <w:rPr>
          <w:rFonts w:hint="eastAsia" w:ascii="仿宋_GB2312" w:eastAsia="仿宋_GB2312"/>
          <w:sz w:val="32"/>
          <w:szCs w:val="32"/>
          <w:lang w:eastAsia="zh-CN"/>
        </w:rPr>
        <w:t>一所全日制公办小学，由财政全额拨款。主要任务是承担义务教育小学阶段的教育教学工作，</w:t>
      </w:r>
      <w:r>
        <w:rPr>
          <w:rFonts w:hint="eastAsia" w:ascii="仿宋_GB2312" w:eastAsia="仿宋_GB2312"/>
          <w:sz w:val="32"/>
          <w:szCs w:val="32"/>
          <w:lang w:val="en-US" w:eastAsia="zh-CN"/>
        </w:rPr>
        <w:t>培养德、智、体、美、劳全面发展的社会接班人。</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（二）机构设置</w:t>
      </w:r>
    </w:p>
    <w:p>
      <w:pPr>
        <w:spacing w:line="288" w:lineRule="auto"/>
        <w:ind w:firstLine="640" w:firstLineChars="200"/>
        <w:rPr>
          <w:rFonts w:ascii="仿宋_GB2312" w:eastAsia="仿宋_GB2312"/>
          <w:sz w:val="32"/>
          <w:szCs w:val="32"/>
          <w:lang w:val="en-US"/>
        </w:rPr>
      </w:pPr>
      <w:r>
        <w:rPr>
          <w:rFonts w:hint="eastAsia" w:ascii="仿宋_GB2312" w:eastAsia="仿宋_GB2312"/>
          <w:sz w:val="32"/>
          <w:szCs w:val="32"/>
        </w:rPr>
        <w:t>按照部门决算编报要求，</w:t>
      </w:r>
      <w:r>
        <w:rPr>
          <w:rFonts w:hint="eastAsia" w:ascii="仿宋_GB2312" w:eastAsia="仿宋_GB2312"/>
          <w:sz w:val="32"/>
          <w:szCs w:val="32"/>
          <w:lang w:eastAsia="zh-CN"/>
        </w:rPr>
        <w:t>华桥小学</w:t>
      </w:r>
      <w:r>
        <w:rPr>
          <w:rFonts w:hint="eastAsia" w:ascii="仿宋_GB2312" w:eastAsia="仿宋_GB2312"/>
          <w:sz w:val="32"/>
          <w:szCs w:val="32"/>
          <w:lang w:val="en-US" w:eastAsia="zh-CN"/>
        </w:rPr>
        <w:t>属濠江区教育局属下一个单位，没有下属单位。</w:t>
      </w:r>
    </w:p>
    <w:p>
      <w:pPr>
        <w:spacing w:line="288" w:lineRule="auto"/>
        <w:ind w:firstLine="723" w:firstLineChars="200"/>
        <w:outlineLvl w:val="0"/>
        <w:rPr>
          <w:rFonts w:ascii="宋体" w:hAnsi="宋体"/>
          <w:b/>
          <w:sz w:val="36"/>
          <w:szCs w:val="36"/>
        </w:rPr>
      </w:pPr>
      <w:r>
        <w:rPr>
          <w:rFonts w:hint="eastAsia" w:ascii="宋体" w:hAnsi="宋体"/>
          <w:b/>
          <w:sz w:val="36"/>
          <w:szCs w:val="36"/>
          <w:lang w:eastAsia="zh-CN"/>
        </w:rPr>
        <w:t>华桥小学</w:t>
      </w:r>
      <w:r>
        <w:rPr>
          <w:rFonts w:hint="eastAsia" w:ascii="宋体" w:hAnsi="宋体"/>
          <w:b/>
          <w:sz w:val="36"/>
          <w:szCs w:val="36"/>
          <w:lang w:val="en-US" w:eastAsia="zh-CN"/>
        </w:rPr>
        <w:t>2017</w:t>
      </w:r>
      <w:r>
        <w:rPr>
          <w:rFonts w:hint="eastAsia" w:ascii="宋体" w:hAnsi="宋体"/>
          <w:b/>
          <w:sz w:val="36"/>
          <w:szCs w:val="36"/>
        </w:rPr>
        <w:t>年部门决算表</w:t>
      </w:r>
    </w:p>
    <w:tbl>
      <w:tblPr>
        <w:tblStyle w:val="3"/>
        <w:tblW w:w="8425" w:type="dxa"/>
        <w:tblInd w:w="93" w:type="dxa"/>
        <w:tblLayout w:type="fixed"/>
        <w:tblCellMar>
          <w:top w:w="0" w:type="dxa"/>
          <w:left w:w="108" w:type="dxa"/>
          <w:bottom w:w="0" w:type="dxa"/>
          <w:right w:w="108" w:type="dxa"/>
        </w:tblCellMar>
      </w:tblPr>
      <w:tblGrid>
        <w:gridCol w:w="1709"/>
        <w:gridCol w:w="401"/>
        <w:gridCol w:w="972"/>
        <w:gridCol w:w="1647"/>
        <w:gridCol w:w="512"/>
        <w:gridCol w:w="1142"/>
        <w:gridCol w:w="463"/>
        <w:gridCol w:w="1"/>
        <w:gridCol w:w="1"/>
        <w:gridCol w:w="795"/>
        <w:gridCol w:w="1"/>
        <w:gridCol w:w="1"/>
        <w:gridCol w:w="778"/>
        <w:gridCol w:w="1"/>
        <w:gridCol w:w="1"/>
      </w:tblGrid>
      <w:tr>
        <w:tblPrEx>
          <w:tblLayout w:type="fixed"/>
          <w:tblCellMar>
            <w:top w:w="0" w:type="dxa"/>
            <w:left w:w="108" w:type="dxa"/>
            <w:bottom w:w="0" w:type="dxa"/>
            <w:right w:w="108" w:type="dxa"/>
          </w:tblCellMar>
        </w:tblPrEx>
        <w:trPr>
          <w:gridAfter w:val="1"/>
          <w:wAfter w:w="1" w:type="dxa"/>
          <w:trHeight w:val="360" w:hRule="atLeast"/>
        </w:trPr>
        <w:tc>
          <w:tcPr>
            <w:tcW w:w="6383" w:type="dxa"/>
            <w:gridSpan w:val="6"/>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c>
          <w:tcPr>
            <w:tcW w:w="464" w:type="dxa"/>
            <w:gridSpan w:val="2"/>
            <w:vAlign w:val="center"/>
          </w:tcPr>
          <w:p>
            <w:pPr>
              <w:widowControl/>
              <w:jc w:val="center"/>
              <w:rPr>
                <w:rFonts w:hint="eastAsia" w:ascii="华文中宋" w:hAnsi="华文中宋" w:eastAsia="华文中宋" w:cs="宋体"/>
                <w:color w:val="000000"/>
                <w:kern w:val="0"/>
                <w:sz w:val="32"/>
                <w:szCs w:val="32"/>
              </w:rPr>
            </w:pPr>
          </w:p>
        </w:tc>
        <w:tc>
          <w:tcPr>
            <w:tcW w:w="797" w:type="dxa"/>
            <w:gridSpan w:val="3"/>
            <w:vAlign w:val="center"/>
          </w:tcPr>
          <w:p>
            <w:pPr>
              <w:widowControl/>
              <w:jc w:val="center"/>
              <w:rPr>
                <w:rFonts w:hint="eastAsia" w:ascii="华文中宋" w:hAnsi="华文中宋" w:eastAsia="华文中宋" w:cs="宋体"/>
                <w:color w:val="000000"/>
                <w:kern w:val="0"/>
                <w:sz w:val="32"/>
                <w:szCs w:val="32"/>
              </w:rPr>
            </w:pPr>
          </w:p>
        </w:tc>
        <w:tc>
          <w:tcPr>
            <w:tcW w:w="780" w:type="dxa"/>
            <w:gridSpan w:val="3"/>
            <w:vAlign w:val="center"/>
          </w:tcPr>
          <w:p>
            <w:pPr>
              <w:widowControl/>
              <w:jc w:val="center"/>
              <w:rPr>
                <w:rFonts w:hint="eastAsia" w:ascii="华文中宋" w:hAnsi="华文中宋" w:eastAsia="华文中宋" w:cs="宋体"/>
                <w:color w:val="000000"/>
                <w:kern w:val="0"/>
                <w:sz w:val="32"/>
                <w:szCs w:val="32"/>
              </w:rPr>
            </w:pPr>
          </w:p>
        </w:tc>
      </w:tr>
      <w:tr>
        <w:tblPrEx>
          <w:tblLayout w:type="fixed"/>
          <w:tblCellMar>
            <w:top w:w="0" w:type="dxa"/>
            <w:left w:w="108" w:type="dxa"/>
            <w:bottom w:w="0" w:type="dxa"/>
            <w:right w:w="108" w:type="dxa"/>
          </w:tblCellMar>
        </w:tblPrEx>
        <w:trPr>
          <w:trHeight w:val="199" w:hRule="atLeast"/>
        </w:trPr>
        <w:tc>
          <w:tcPr>
            <w:tcW w:w="170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40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7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64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51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42"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公开01表</w:t>
            </w:r>
          </w:p>
        </w:tc>
        <w:tc>
          <w:tcPr>
            <w:tcW w:w="465" w:type="dxa"/>
            <w:gridSpan w:val="3"/>
            <w:shd w:val="clear" w:color="auto" w:fill="FFFFFF"/>
            <w:vAlign w:val="center"/>
          </w:tcPr>
          <w:p>
            <w:pPr>
              <w:widowControl/>
              <w:jc w:val="right"/>
              <w:rPr>
                <w:rFonts w:hint="eastAsia" w:ascii="宋体" w:hAnsi="宋体" w:cs="宋体"/>
                <w:color w:val="000000"/>
                <w:kern w:val="0"/>
                <w:sz w:val="20"/>
                <w:szCs w:val="20"/>
              </w:rPr>
            </w:pPr>
          </w:p>
        </w:tc>
        <w:tc>
          <w:tcPr>
            <w:tcW w:w="797" w:type="dxa"/>
            <w:gridSpan w:val="3"/>
            <w:shd w:val="clear" w:color="auto" w:fill="FFFFFF"/>
            <w:vAlign w:val="center"/>
          </w:tcPr>
          <w:p>
            <w:pPr>
              <w:widowControl/>
              <w:jc w:val="right"/>
              <w:rPr>
                <w:rFonts w:hint="eastAsia" w:ascii="宋体" w:hAnsi="宋体" w:cs="宋体"/>
                <w:color w:val="000000"/>
                <w:kern w:val="0"/>
                <w:sz w:val="20"/>
                <w:szCs w:val="20"/>
              </w:rPr>
            </w:pPr>
          </w:p>
        </w:tc>
        <w:tc>
          <w:tcPr>
            <w:tcW w:w="780" w:type="dxa"/>
            <w:gridSpan w:val="3"/>
            <w:shd w:val="clear" w:color="auto" w:fill="FFFFFF"/>
            <w:vAlign w:val="center"/>
          </w:tcPr>
          <w:p>
            <w:pPr>
              <w:widowControl/>
              <w:jc w:val="righ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00" w:hRule="atLeast"/>
        </w:trPr>
        <w:tc>
          <w:tcPr>
            <w:tcW w:w="1709" w:type="dxa"/>
            <w:shd w:val="clear" w:color="auto" w:fill="FFFFFF"/>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部门：</w:t>
            </w:r>
            <w:r>
              <w:rPr>
                <w:rFonts w:hint="eastAsia" w:ascii="宋体" w:hAnsi="宋体" w:cs="宋体"/>
                <w:color w:val="000000"/>
                <w:kern w:val="0"/>
                <w:sz w:val="20"/>
                <w:szCs w:val="20"/>
                <w:lang w:eastAsia="zh-CN"/>
              </w:rPr>
              <w:t>汕头市濠江区华桥小学</w:t>
            </w:r>
          </w:p>
        </w:tc>
        <w:tc>
          <w:tcPr>
            <w:tcW w:w="40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7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64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51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42"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c>
          <w:tcPr>
            <w:tcW w:w="465" w:type="dxa"/>
            <w:gridSpan w:val="3"/>
            <w:shd w:val="clear" w:color="auto" w:fill="FFFFFF"/>
            <w:vAlign w:val="center"/>
          </w:tcPr>
          <w:p>
            <w:pPr>
              <w:widowControl/>
              <w:jc w:val="right"/>
              <w:rPr>
                <w:rFonts w:hint="eastAsia" w:ascii="宋体" w:hAnsi="宋体" w:cs="宋体"/>
                <w:color w:val="000000"/>
                <w:kern w:val="0"/>
                <w:sz w:val="20"/>
                <w:szCs w:val="20"/>
              </w:rPr>
            </w:pPr>
          </w:p>
        </w:tc>
        <w:tc>
          <w:tcPr>
            <w:tcW w:w="797" w:type="dxa"/>
            <w:gridSpan w:val="3"/>
            <w:shd w:val="clear" w:color="auto" w:fill="FFFFFF"/>
            <w:vAlign w:val="center"/>
          </w:tcPr>
          <w:p>
            <w:pPr>
              <w:widowControl/>
              <w:jc w:val="right"/>
              <w:rPr>
                <w:rFonts w:hint="eastAsia" w:ascii="宋体" w:hAnsi="宋体" w:cs="宋体"/>
                <w:color w:val="000000"/>
                <w:kern w:val="0"/>
                <w:sz w:val="20"/>
                <w:szCs w:val="20"/>
              </w:rPr>
            </w:pPr>
          </w:p>
        </w:tc>
        <w:tc>
          <w:tcPr>
            <w:tcW w:w="780" w:type="dxa"/>
            <w:gridSpan w:val="3"/>
            <w:shd w:val="clear" w:color="auto" w:fill="FFFFFF"/>
            <w:vAlign w:val="center"/>
          </w:tcPr>
          <w:p>
            <w:pPr>
              <w:widowControl/>
              <w:jc w:val="righ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gridAfter w:val="2"/>
          <w:wAfter w:w="2" w:type="dxa"/>
          <w:trHeight w:val="439" w:hRule="atLeast"/>
        </w:trPr>
        <w:tc>
          <w:tcPr>
            <w:tcW w:w="3082" w:type="dxa"/>
            <w:gridSpan w:val="3"/>
            <w:tcBorders>
              <w:top w:val="single" w:color="auto" w:sz="8" w:space="0"/>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3301" w:type="dxa"/>
            <w:gridSpan w:val="3"/>
            <w:tcBorders>
              <w:top w:val="single" w:color="auto" w:sz="8" w:space="0"/>
              <w:left w:val="nil"/>
              <w:bottom w:val="single" w:color="auto" w:sz="4" w:space="0"/>
              <w:right w:val="single" w:color="000000"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c>
          <w:tcPr>
            <w:tcW w:w="463" w:type="dxa"/>
            <w:tcBorders>
              <w:top w:val="single" w:color="auto" w:sz="8" w:space="0"/>
              <w:left w:val="nil"/>
              <w:bottom w:val="single" w:color="auto" w:sz="4" w:space="0"/>
              <w:right w:val="single" w:color="000000" w:sz="8" w:space="0"/>
            </w:tcBorders>
            <w:shd w:val="clear" w:color="auto" w:fill="FFFFFF"/>
            <w:vAlign w:val="center"/>
          </w:tcPr>
          <w:p>
            <w:pPr>
              <w:widowControl/>
              <w:jc w:val="center"/>
              <w:rPr>
                <w:rFonts w:hint="eastAsia" w:ascii="宋体" w:hAnsi="宋体" w:cs="宋体"/>
                <w:kern w:val="0"/>
                <w:sz w:val="24"/>
              </w:rPr>
            </w:pPr>
          </w:p>
        </w:tc>
        <w:tc>
          <w:tcPr>
            <w:tcW w:w="797" w:type="dxa"/>
            <w:gridSpan w:val="3"/>
            <w:tcBorders>
              <w:top w:val="single" w:color="auto" w:sz="8" w:space="0"/>
              <w:left w:val="nil"/>
              <w:bottom w:val="single" w:color="auto" w:sz="4" w:space="0"/>
              <w:right w:val="single" w:color="000000" w:sz="8" w:space="0"/>
            </w:tcBorders>
            <w:shd w:val="clear" w:color="auto" w:fill="FFFFFF"/>
            <w:vAlign w:val="center"/>
          </w:tcPr>
          <w:p>
            <w:pPr>
              <w:widowControl/>
              <w:jc w:val="center"/>
              <w:rPr>
                <w:rFonts w:hint="eastAsia" w:ascii="宋体" w:hAnsi="宋体" w:cs="宋体"/>
                <w:kern w:val="0"/>
                <w:sz w:val="24"/>
              </w:rPr>
            </w:pPr>
          </w:p>
        </w:tc>
        <w:tc>
          <w:tcPr>
            <w:tcW w:w="780" w:type="dxa"/>
            <w:gridSpan w:val="3"/>
            <w:tcBorders>
              <w:top w:val="single" w:color="auto" w:sz="8" w:space="0"/>
              <w:left w:val="nil"/>
              <w:bottom w:val="single" w:color="auto" w:sz="4" w:space="0"/>
              <w:right w:val="single" w:color="000000" w:sz="8" w:space="0"/>
            </w:tcBorders>
            <w:shd w:val="clear" w:color="auto" w:fill="FFFFFF"/>
            <w:vAlign w:val="center"/>
          </w:tcPr>
          <w:p>
            <w:pPr>
              <w:widowControl/>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7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c>
          <w:tcPr>
            <w:tcW w:w="1647" w:type="dxa"/>
            <w:tcBorders>
              <w:top w:val="nil"/>
              <w:left w:val="nil"/>
              <w:bottom w:val="single" w:color="auto" w:sz="4" w:space="0"/>
              <w:right w:val="single" w:color="auto" w:sz="4" w:space="0"/>
            </w:tcBorders>
            <w:shd w:val="clear" w:color="auto" w:fill="FFFFFF"/>
            <w:vAlign w:val="center"/>
          </w:tcPr>
          <w:p>
            <w:pPr>
              <w:widowControl/>
              <w:ind w:right="315" w:rightChars="150"/>
              <w:jc w:val="center"/>
              <w:rPr>
                <w:rFonts w:ascii="宋体" w:hAnsi="宋体" w:cs="宋体"/>
                <w:kern w:val="0"/>
                <w:sz w:val="24"/>
              </w:rPr>
            </w:pPr>
            <w:r>
              <w:rPr>
                <w:rFonts w:hint="eastAsia" w:ascii="宋体" w:hAnsi="宋体" w:cs="宋体"/>
                <w:kern w:val="0"/>
                <w:sz w:val="24"/>
              </w:rPr>
              <w:t>项    目</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142"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c>
          <w:tcPr>
            <w:tcW w:w="465" w:type="dxa"/>
            <w:gridSpan w:val="3"/>
            <w:tcBorders>
              <w:top w:val="nil"/>
              <w:left w:val="nil"/>
              <w:bottom w:val="single" w:color="auto" w:sz="4" w:space="0"/>
              <w:right w:val="single" w:color="auto" w:sz="8" w:space="0"/>
            </w:tcBorders>
            <w:shd w:val="clear" w:color="auto" w:fill="FFFFFF"/>
            <w:vAlign w:val="center"/>
          </w:tcPr>
          <w:p>
            <w:pPr>
              <w:widowControl/>
              <w:jc w:val="center"/>
              <w:rPr>
                <w:rFonts w:hint="eastAsia" w:ascii="宋体" w:hAnsi="宋体" w:cs="宋体"/>
                <w:kern w:val="0"/>
                <w:sz w:val="24"/>
              </w:rPr>
            </w:pPr>
          </w:p>
        </w:tc>
        <w:tc>
          <w:tcPr>
            <w:tcW w:w="797" w:type="dxa"/>
            <w:gridSpan w:val="3"/>
            <w:tcBorders>
              <w:top w:val="nil"/>
              <w:left w:val="nil"/>
              <w:bottom w:val="single" w:color="auto" w:sz="4" w:space="0"/>
              <w:right w:val="single" w:color="auto" w:sz="8" w:space="0"/>
            </w:tcBorders>
            <w:shd w:val="clear" w:color="auto" w:fill="FFFFFF"/>
            <w:vAlign w:val="center"/>
          </w:tcPr>
          <w:p>
            <w:pPr>
              <w:widowControl/>
              <w:jc w:val="center"/>
              <w:rPr>
                <w:rFonts w:hint="eastAsia" w:ascii="宋体" w:hAnsi="宋体" w:cs="宋体"/>
                <w:kern w:val="0"/>
                <w:sz w:val="24"/>
              </w:rPr>
            </w:pPr>
          </w:p>
        </w:tc>
        <w:tc>
          <w:tcPr>
            <w:tcW w:w="780" w:type="dxa"/>
            <w:gridSpan w:val="3"/>
            <w:tcBorders>
              <w:top w:val="nil"/>
              <w:left w:val="nil"/>
              <w:bottom w:val="single" w:color="auto" w:sz="4" w:space="0"/>
              <w:right w:val="single" w:color="auto" w:sz="8" w:space="0"/>
            </w:tcBorders>
            <w:shd w:val="clear" w:color="auto" w:fill="FFFFFF"/>
            <w:vAlign w:val="center"/>
          </w:tcPr>
          <w:p>
            <w:pPr>
              <w:widowControl/>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7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1647"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142"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465" w:type="dxa"/>
            <w:gridSpan w:val="3"/>
            <w:tcBorders>
              <w:top w:val="nil"/>
              <w:left w:val="nil"/>
              <w:bottom w:val="single" w:color="auto" w:sz="4" w:space="0"/>
              <w:right w:val="single" w:color="auto" w:sz="8" w:space="0"/>
            </w:tcBorders>
            <w:shd w:val="clear" w:color="auto" w:fill="FFFFFF"/>
            <w:vAlign w:val="center"/>
          </w:tcPr>
          <w:p>
            <w:pPr>
              <w:widowControl/>
              <w:jc w:val="center"/>
              <w:rPr>
                <w:rFonts w:hint="eastAsia" w:ascii="宋体" w:hAnsi="宋体" w:cs="宋体"/>
                <w:kern w:val="0"/>
                <w:sz w:val="24"/>
              </w:rPr>
            </w:pPr>
          </w:p>
        </w:tc>
        <w:tc>
          <w:tcPr>
            <w:tcW w:w="797" w:type="dxa"/>
            <w:gridSpan w:val="3"/>
            <w:tcBorders>
              <w:top w:val="nil"/>
              <w:left w:val="nil"/>
              <w:bottom w:val="single" w:color="auto" w:sz="4" w:space="0"/>
              <w:right w:val="single" w:color="auto" w:sz="8" w:space="0"/>
            </w:tcBorders>
            <w:shd w:val="clear" w:color="auto" w:fill="FFFFFF"/>
            <w:vAlign w:val="center"/>
          </w:tcPr>
          <w:p>
            <w:pPr>
              <w:widowControl/>
              <w:jc w:val="center"/>
              <w:rPr>
                <w:rFonts w:hint="eastAsia" w:ascii="宋体" w:hAnsi="宋体" w:cs="宋体"/>
                <w:kern w:val="0"/>
                <w:sz w:val="24"/>
              </w:rPr>
            </w:pPr>
          </w:p>
        </w:tc>
        <w:tc>
          <w:tcPr>
            <w:tcW w:w="780" w:type="dxa"/>
            <w:gridSpan w:val="3"/>
            <w:tcBorders>
              <w:top w:val="nil"/>
              <w:left w:val="nil"/>
              <w:bottom w:val="single" w:color="auto" w:sz="4" w:space="0"/>
              <w:right w:val="single" w:color="auto" w:sz="8" w:space="0"/>
            </w:tcBorders>
            <w:shd w:val="clear" w:color="auto" w:fill="FFFFFF"/>
            <w:vAlign w:val="center"/>
          </w:tcPr>
          <w:p>
            <w:pPr>
              <w:widowControl/>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一、财政拨款收入</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5"/>
                <w:szCs w:val="15"/>
              </w:rPr>
            </w:pPr>
            <w:r>
              <w:rPr>
                <w:rFonts w:hint="eastAsia" w:ascii="宋体" w:hAnsi="宋体" w:cs="宋体"/>
                <w:kern w:val="0"/>
                <w:sz w:val="21"/>
                <w:szCs w:val="21"/>
                <w:lang w:val="en-US" w:eastAsia="zh-CN"/>
              </w:rPr>
              <w:t>218.29</w:t>
            </w:r>
            <w:r>
              <w:rPr>
                <w:rFonts w:hint="eastAsia" w:ascii="宋体" w:hAnsi="宋体" w:cs="宋体"/>
                <w:kern w:val="0"/>
                <w:sz w:val="15"/>
                <w:szCs w:val="15"/>
              </w:rPr>
              <w:t>　</w:t>
            </w:r>
          </w:p>
        </w:tc>
        <w:tc>
          <w:tcPr>
            <w:tcW w:w="1647"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二、上级补助收入</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5"/>
                <w:szCs w:val="15"/>
              </w:rPr>
            </w:pPr>
            <w:r>
              <w:rPr>
                <w:rFonts w:hint="eastAsia" w:ascii="宋体" w:hAnsi="宋体" w:cs="宋体"/>
                <w:kern w:val="0"/>
                <w:sz w:val="24"/>
                <w:szCs w:val="24"/>
                <w:lang w:val="en-US" w:eastAsia="zh-CN"/>
              </w:rPr>
              <w:t>3.16</w:t>
            </w:r>
            <w:r>
              <w:rPr>
                <w:rFonts w:hint="eastAsia" w:ascii="宋体" w:hAnsi="宋体" w:cs="宋体"/>
                <w:kern w:val="0"/>
                <w:sz w:val="15"/>
                <w:szCs w:val="15"/>
              </w:rPr>
              <w:t>　</w:t>
            </w:r>
          </w:p>
        </w:tc>
        <w:tc>
          <w:tcPr>
            <w:tcW w:w="1647"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三、事业收入</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1.06</w:t>
            </w:r>
            <w:r>
              <w:rPr>
                <w:rFonts w:hint="eastAsia" w:ascii="宋体" w:hAnsi="宋体" w:cs="宋体"/>
                <w:kern w:val="0"/>
                <w:sz w:val="22"/>
                <w:szCs w:val="22"/>
              </w:rPr>
              <w:t>　</w:t>
            </w:r>
          </w:p>
        </w:tc>
        <w:tc>
          <w:tcPr>
            <w:tcW w:w="1647"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四、经营收入</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647"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四、安全支出</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五、附属单位上缴收入</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647"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228.35</w:t>
            </w: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六、其他收入</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0.36</w:t>
            </w:r>
            <w:r>
              <w:rPr>
                <w:rFonts w:hint="eastAsia" w:ascii="宋体" w:hAnsi="宋体" w:cs="宋体"/>
                <w:kern w:val="0"/>
                <w:sz w:val="22"/>
                <w:szCs w:val="22"/>
              </w:rPr>
              <w:t>　</w:t>
            </w:r>
          </w:p>
        </w:tc>
        <w:tc>
          <w:tcPr>
            <w:tcW w:w="1647"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4"/>
              </w:rPr>
              <w:t>……</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64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w:t>
            </w:r>
          </w:p>
        </w:tc>
        <w:tc>
          <w:tcPr>
            <w:tcW w:w="51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1142"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97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1647"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2"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1142" w:type="dxa"/>
            <w:tcBorders>
              <w:top w:val="nil"/>
              <w:left w:val="nil"/>
              <w:bottom w:val="single" w:color="auto"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center"/>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center"/>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center"/>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222.87</w:t>
            </w:r>
            <w:r>
              <w:rPr>
                <w:rFonts w:hint="eastAsia" w:ascii="宋体" w:hAnsi="宋体" w:cs="宋体"/>
                <w:kern w:val="0"/>
                <w:sz w:val="22"/>
                <w:szCs w:val="22"/>
              </w:rPr>
              <w:t>　</w:t>
            </w:r>
          </w:p>
        </w:tc>
        <w:tc>
          <w:tcPr>
            <w:tcW w:w="1647" w:type="dxa"/>
            <w:tcBorders>
              <w:top w:val="nil"/>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512"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1142" w:type="dxa"/>
            <w:tcBorders>
              <w:top w:val="nil"/>
              <w:left w:val="nil"/>
              <w:bottom w:val="single" w:color="auto" w:sz="4" w:space="0"/>
              <w:right w:val="single" w:color="auto" w:sz="8"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b/>
                <w:bCs/>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b/>
                <w:bCs/>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b/>
                <w:bCs/>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用事业基金弥补收支差额</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647"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结余分配</w:t>
            </w:r>
          </w:p>
        </w:tc>
        <w:tc>
          <w:tcPr>
            <w:tcW w:w="512"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1142" w:type="dxa"/>
            <w:tcBorders>
              <w:top w:val="nil"/>
              <w:left w:val="nil"/>
              <w:bottom w:val="single" w:color="auto" w:sz="4"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年初结转和结余</w:t>
            </w:r>
          </w:p>
        </w:tc>
        <w:tc>
          <w:tcPr>
            <w:tcW w:w="40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97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29.32</w:t>
            </w:r>
            <w:r>
              <w:rPr>
                <w:rFonts w:hint="eastAsia" w:ascii="宋体" w:hAnsi="宋体" w:cs="宋体"/>
                <w:kern w:val="0"/>
                <w:sz w:val="22"/>
                <w:szCs w:val="22"/>
              </w:rPr>
              <w:t>　</w:t>
            </w:r>
          </w:p>
        </w:tc>
        <w:tc>
          <w:tcPr>
            <w:tcW w:w="1647"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年末结转和结余</w:t>
            </w:r>
          </w:p>
        </w:tc>
        <w:tc>
          <w:tcPr>
            <w:tcW w:w="512"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1142"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2"/>
                <w:szCs w:val="22"/>
                <w:lang w:val="en-US" w:eastAsia="zh-CN"/>
              </w:rPr>
            </w:pPr>
            <w:r>
              <w:rPr>
                <w:rFonts w:hint="eastAsia" w:ascii="宋体" w:hAnsi="宋体" w:cs="宋体"/>
                <w:kern w:val="0"/>
                <w:sz w:val="22"/>
                <w:szCs w:val="22"/>
              </w:rPr>
              <w:t>　</w:t>
            </w:r>
            <w:r>
              <w:rPr>
                <w:rFonts w:hint="eastAsia" w:ascii="宋体" w:hAnsi="宋体" w:cs="宋体"/>
                <w:kern w:val="0"/>
                <w:sz w:val="22"/>
                <w:szCs w:val="22"/>
                <w:lang w:val="en-US" w:eastAsia="zh-CN"/>
              </w:rPr>
              <w:t>23.84</w:t>
            </w:r>
          </w:p>
        </w:tc>
        <w:tc>
          <w:tcPr>
            <w:tcW w:w="465"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kern w:val="0"/>
                <w:sz w:val="22"/>
                <w:szCs w:val="22"/>
              </w:rPr>
            </w:pPr>
          </w:p>
        </w:tc>
        <w:tc>
          <w:tcPr>
            <w:tcW w:w="797"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kern w:val="0"/>
                <w:sz w:val="22"/>
                <w:szCs w:val="22"/>
              </w:rPr>
            </w:pPr>
          </w:p>
        </w:tc>
        <w:tc>
          <w:tcPr>
            <w:tcW w:w="780" w:type="dxa"/>
            <w:gridSpan w:val="3"/>
            <w:tcBorders>
              <w:top w:val="nil"/>
              <w:left w:val="nil"/>
              <w:bottom w:val="single" w:color="auto" w:sz="4" w:space="0"/>
              <w:right w:val="single" w:color="auto" w:sz="8" w:space="0"/>
            </w:tcBorders>
            <w:vAlign w:val="center"/>
          </w:tcPr>
          <w:p>
            <w:pPr>
              <w:widowControl/>
              <w:jc w:val="lef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nil"/>
              <w:left w:val="single" w:color="auto" w:sz="8" w:space="0"/>
              <w:bottom w:val="nil"/>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0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972"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647" w:type="dxa"/>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2"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1142" w:type="dxa"/>
            <w:tcBorders>
              <w:top w:val="nil"/>
              <w:left w:val="nil"/>
              <w:bottom w:val="nil"/>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65" w:type="dxa"/>
            <w:gridSpan w:val="3"/>
            <w:tcBorders>
              <w:top w:val="nil"/>
              <w:left w:val="nil"/>
              <w:bottom w:val="nil"/>
              <w:right w:val="single" w:color="auto" w:sz="8" w:space="0"/>
            </w:tcBorders>
            <w:vAlign w:val="center"/>
          </w:tcPr>
          <w:p>
            <w:pPr>
              <w:widowControl/>
              <w:jc w:val="left"/>
              <w:rPr>
                <w:rFonts w:hint="eastAsia" w:ascii="宋体" w:hAnsi="宋体" w:cs="宋体"/>
                <w:kern w:val="0"/>
                <w:sz w:val="22"/>
                <w:szCs w:val="22"/>
              </w:rPr>
            </w:pPr>
          </w:p>
        </w:tc>
        <w:tc>
          <w:tcPr>
            <w:tcW w:w="797" w:type="dxa"/>
            <w:gridSpan w:val="3"/>
            <w:tcBorders>
              <w:top w:val="nil"/>
              <w:left w:val="nil"/>
              <w:bottom w:val="nil"/>
              <w:right w:val="single" w:color="auto" w:sz="8" w:space="0"/>
            </w:tcBorders>
            <w:vAlign w:val="center"/>
          </w:tcPr>
          <w:p>
            <w:pPr>
              <w:widowControl/>
              <w:jc w:val="left"/>
              <w:rPr>
                <w:rFonts w:hint="eastAsia" w:ascii="宋体" w:hAnsi="宋体" w:cs="宋体"/>
                <w:kern w:val="0"/>
                <w:sz w:val="22"/>
                <w:szCs w:val="22"/>
              </w:rPr>
            </w:pPr>
          </w:p>
        </w:tc>
        <w:tc>
          <w:tcPr>
            <w:tcW w:w="780" w:type="dxa"/>
            <w:gridSpan w:val="3"/>
            <w:tcBorders>
              <w:top w:val="nil"/>
              <w:left w:val="nil"/>
              <w:bottom w:val="nil"/>
              <w:right w:val="single" w:color="auto" w:sz="8" w:space="0"/>
            </w:tcBorders>
            <w:vAlign w:val="center"/>
          </w:tcPr>
          <w:p>
            <w:pPr>
              <w:widowControl/>
              <w:jc w:val="left"/>
              <w:rPr>
                <w:rFonts w:hint="eastAsia" w:ascii="宋体" w:hAnsi="宋体" w:cs="宋体"/>
                <w:kern w:val="0"/>
                <w:sz w:val="22"/>
                <w:szCs w:val="22"/>
              </w:rPr>
            </w:pPr>
          </w:p>
        </w:tc>
      </w:tr>
      <w:tr>
        <w:tblPrEx>
          <w:tblLayout w:type="fixed"/>
          <w:tblCellMar>
            <w:top w:w="0" w:type="dxa"/>
            <w:left w:w="108" w:type="dxa"/>
            <w:bottom w:w="0" w:type="dxa"/>
            <w:right w:w="108" w:type="dxa"/>
          </w:tblCellMar>
        </w:tblPrEx>
        <w:trPr>
          <w:trHeight w:val="439" w:hRule="atLeast"/>
        </w:trPr>
        <w:tc>
          <w:tcPr>
            <w:tcW w:w="1709" w:type="dxa"/>
            <w:tcBorders>
              <w:top w:val="single" w:color="auto" w:sz="4" w:space="0"/>
              <w:left w:val="single" w:color="auto" w:sz="8" w:space="0"/>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40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972" w:type="dxa"/>
            <w:tcBorders>
              <w:top w:val="single" w:color="auto" w:sz="4" w:space="0"/>
              <w:left w:val="nil"/>
              <w:bottom w:val="single" w:color="auto" w:sz="8"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252.19</w:t>
            </w:r>
            <w:r>
              <w:rPr>
                <w:rFonts w:hint="eastAsia" w:ascii="宋体" w:hAnsi="宋体" w:cs="宋体"/>
                <w:kern w:val="0"/>
                <w:sz w:val="22"/>
                <w:szCs w:val="22"/>
              </w:rPr>
              <w:t>　</w:t>
            </w:r>
          </w:p>
        </w:tc>
        <w:tc>
          <w:tcPr>
            <w:tcW w:w="1647" w:type="dxa"/>
            <w:tcBorders>
              <w:top w:val="single" w:color="auto" w:sz="4" w:space="0"/>
              <w:left w:val="nil"/>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512"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1142" w:type="dxa"/>
            <w:tcBorders>
              <w:top w:val="single" w:color="auto" w:sz="4" w:space="0"/>
              <w:left w:val="nil"/>
              <w:bottom w:val="single" w:color="auto" w:sz="8" w:space="0"/>
              <w:right w:val="single" w:color="auto" w:sz="8" w:space="0"/>
            </w:tcBorders>
            <w:vAlign w:val="center"/>
          </w:tcPr>
          <w:p>
            <w:pPr>
              <w:widowControl/>
              <w:jc w:val="left"/>
              <w:rPr>
                <w:rFonts w:hint="eastAsia" w:ascii="宋体" w:hAnsi="宋体" w:eastAsia="宋体" w:cs="宋体"/>
                <w:b/>
                <w:bCs/>
                <w:kern w:val="0"/>
                <w:sz w:val="22"/>
                <w:szCs w:val="22"/>
                <w:lang w:val="en-US" w:eastAsia="zh-CN"/>
              </w:rPr>
            </w:pPr>
            <w:r>
              <w:rPr>
                <w:rFonts w:hint="eastAsia" w:ascii="宋体" w:hAnsi="宋体" w:cs="宋体"/>
                <w:b/>
                <w:bCs/>
                <w:kern w:val="0"/>
                <w:sz w:val="22"/>
                <w:szCs w:val="22"/>
              </w:rPr>
              <w:t>　</w:t>
            </w:r>
            <w:r>
              <w:rPr>
                <w:rFonts w:hint="eastAsia" w:ascii="宋体" w:hAnsi="宋体" w:cs="宋体"/>
                <w:b/>
                <w:bCs/>
                <w:kern w:val="0"/>
                <w:sz w:val="22"/>
                <w:szCs w:val="22"/>
                <w:lang w:val="en-US" w:eastAsia="zh-CN"/>
              </w:rPr>
              <w:t>252.19</w:t>
            </w:r>
          </w:p>
        </w:tc>
        <w:tc>
          <w:tcPr>
            <w:tcW w:w="465" w:type="dxa"/>
            <w:gridSpan w:val="3"/>
            <w:tcBorders>
              <w:top w:val="single" w:color="auto" w:sz="4" w:space="0"/>
              <w:left w:val="nil"/>
              <w:bottom w:val="single" w:color="auto" w:sz="8" w:space="0"/>
              <w:right w:val="single" w:color="auto" w:sz="8" w:space="0"/>
            </w:tcBorders>
            <w:vAlign w:val="center"/>
          </w:tcPr>
          <w:p>
            <w:pPr>
              <w:widowControl/>
              <w:jc w:val="left"/>
              <w:rPr>
                <w:rFonts w:hint="eastAsia" w:ascii="宋体" w:hAnsi="宋体" w:cs="宋体"/>
                <w:b/>
                <w:bCs/>
                <w:kern w:val="0"/>
                <w:sz w:val="22"/>
                <w:szCs w:val="22"/>
              </w:rPr>
            </w:pPr>
          </w:p>
        </w:tc>
        <w:tc>
          <w:tcPr>
            <w:tcW w:w="797" w:type="dxa"/>
            <w:gridSpan w:val="3"/>
            <w:tcBorders>
              <w:top w:val="single" w:color="auto" w:sz="4" w:space="0"/>
              <w:left w:val="nil"/>
              <w:bottom w:val="single" w:color="auto" w:sz="8" w:space="0"/>
              <w:right w:val="single" w:color="auto" w:sz="8" w:space="0"/>
            </w:tcBorders>
            <w:vAlign w:val="center"/>
          </w:tcPr>
          <w:p>
            <w:pPr>
              <w:widowControl/>
              <w:jc w:val="left"/>
              <w:rPr>
                <w:rFonts w:hint="eastAsia" w:ascii="宋体" w:hAnsi="宋体" w:cs="宋体"/>
                <w:b/>
                <w:bCs/>
                <w:kern w:val="0"/>
                <w:sz w:val="22"/>
                <w:szCs w:val="22"/>
              </w:rPr>
            </w:pPr>
          </w:p>
        </w:tc>
        <w:tc>
          <w:tcPr>
            <w:tcW w:w="780" w:type="dxa"/>
            <w:gridSpan w:val="3"/>
            <w:tcBorders>
              <w:top w:val="single" w:color="auto" w:sz="4" w:space="0"/>
              <w:left w:val="nil"/>
              <w:bottom w:val="single" w:color="auto" w:sz="8" w:space="0"/>
              <w:right w:val="single" w:color="auto" w:sz="8" w:space="0"/>
            </w:tcBorders>
            <w:vAlign w:val="center"/>
          </w:tcPr>
          <w:p>
            <w:pPr>
              <w:widowControl/>
              <w:jc w:val="left"/>
              <w:rPr>
                <w:rFonts w:hint="eastAsia" w:ascii="宋体" w:hAnsi="宋体" w:cs="宋体"/>
                <w:b/>
                <w:bCs/>
                <w:kern w:val="0"/>
                <w:sz w:val="22"/>
                <w:szCs w:val="22"/>
              </w:rPr>
            </w:pPr>
          </w:p>
        </w:tc>
      </w:tr>
    </w:tbl>
    <w:p>
      <w:pPr>
        <w:spacing w:line="288" w:lineRule="auto"/>
        <w:ind w:firstLine="560"/>
        <w:rPr>
          <w:rFonts w:ascii="仿宋_GB2312" w:eastAsia="仿宋_GB2312"/>
          <w:sz w:val="28"/>
          <w:szCs w:val="28"/>
        </w:rPr>
      </w:pPr>
      <w:r>
        <w:rPr>
          <w:rFonts w:hint="eastAsia" w:ascii="仿宋_GB2312" w:eastAsia="仿宋_GB2312"/>
          <w:sz w:val="28"/>
          <w:szCs w:val="28"/>
        </w:rPr>
        <w:t>注：本表反映部门本年度的总收支和年末结转情况。有关填表说明：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（1）本表中数据填列当年决算数，以“万元”为金额单位，保留两位小数。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（4）此表没有发生数据的，在合计和总计栏填“0”，并在该表下方附简要说明。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（5）该表数据来源于部门决算报表中的《收入支出决算总表》(财决01表)。</w:t>
      </w:r>
    </w:p>
    <w:p>
      <w:pPr>
        <w:spacing w:line="288" w:lineRule="auto"/>
        <w:ind w:firstLine="560"/>
        <w:rPr>
          <w:rFonts w:ascii="仿宋_GB2312" w:eastAsia="仿宋_GB2312"/>
          <w:sz w:val="28"/>
          <w:szCs w:val="28"/>
        </w:rPr>
      </w:pPr>
    </w:p>
    <w:tbl>
      <w:tblPr>
        <w:tblStyle w:val="3"/>
        <w:tblW w:w="9210" w:type="dxa"/>
        <w:tblInd w:w="93" w:type="dxa"/>
        <w:tblLayout w:type="fixed"/>
        <w:tblCellMar>
          <w:top w:w="0" w:type="dxa"/>
          <w:left w:w="108" w:type="dxa"/>
          <w:bottom w:w="0" w:type="dxa"/>
          <w:right w:w="108" w:type="dxa"/>
        </w:tblCellMar>
      </w:tblPr>
      <w:tblGrid>
        <w:gridCol w:w="459"/>
        <w:gridCol w:w="597"/>
        <w:gridCol w:w="1511"/>
        <w:gridCol w:w="1040"/>
        <w:gridCol w:w="945"/>
        <w:gridCol w:w="939"/>
        <w:gridCol w:w="797"/>
        <w:gridCol w:w="796"/>
        <w:gridCol w:w="992"/>
        <w:gridCol w:w="1134"/>
      </w:tblGrid>
      <w:tr>
        <w:tblPrEx>
          <w:tblLayout w:type="fixed"/>
          <w:tblCellMar>
            <w:top w:w="0" w:type="dxa"/>
            <w:left w:w="108" w:type="dxa"/>
            <w:bottom w:w="0" w:type="dxa"/>
            <w:right w:w="108" w:type="dxa"/>
          </w:tblCellMar>
        </w:tblPrEx>
        <w:trPr>
          <w:trHeight w:val="435" w:hRule="atLeast"/>
        </w:trPr>
        <w:tc>
          <w:tcPr>
            <w:tcW w:w="9210" w:type="dxa"/>
            <w:gridSpan w:val="10"/>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收入决算表</w:t>
            </w:r>
          </w:p>
        </w:tc>
      </w:tr>
      <w:tr>
        <w:tblPrEx>
          <w:tblLayout w:type="fixed"/>
          <w:tblCellMar>
            <w:top w:w="0" w:type="dxa"/>
            <w:left w:w="108" w:type="dxa"/>
            <w:bottom w:w="0" w:type="dxa"/>
            <w:right w:w="108" w:type="dxa"/>
          </w:tblCellMar>
        </w:tblPrEx>
        <w:trPr>
          <w:trHeight w:val="285" w:hRule="atLeast"/>
        </w:trPr>
        <w:tc>
          <w:tcPr>
            <w:tcW w:w="45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5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51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40"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96"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公开02表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511" w:type="dxa"/>
            <w:shd w:val="clear" w:color="auto" w:fill="FFFFFF"/>
            <w:vAlign w:val="center"/>
          </w:tcPr>
          <w:p>
            <w:pPr>
              <w:widowControl/>
              <w:jc w:val="right"/>
              <w:rPr>
                <w:rFonts w:ascii="宋体" w:hAnsi="宋体" w:cs="宋体"/>
                <w:kern w:val="0"/>
                <w:sz w:val="24"/>
              </w:rPr>
            </w:pPr>
            <w:r>
              <w:rPr>
                <w:rFonts w:hint="eastAsia" w:ascii="宋体" w:hAnsi="宋体" w:cs="宋体"/>
                <w:color w:val="000000"/>
                <w:kern w:val="0"/>
                <w:sz w:val="20"/>
                <w:szCs w:val="20"/>
                <w:lang w:eastAsia="zh-CN"/>
              </w:rPr>
              <w:t>汕头市濠江区华桥小学</w:t>
            </w:r>
            <w:r>
              <w:rPr>
                <w:rFonts w:hint="eastAsia" w:ascii="宋体" w:hAnsi="宋体" w:cs="宋体"/>
                <w:kern w:val="0"/>
                <w:sz w:val="24"/>
              </w:rPr>
              <w:t>　</w:t>
            </w:r>
          </w:p>
        </w:tc>
        <w:tc>
          <w:tcPr>
            <w:tcW w:w="1040"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96"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50" w:hRule="atLeast"/>
        </w:trPr>
        <w:tc>
          <w:tcPr>
            <w:tcW w:w="2567" w:type="dxa"/>
            <w:gridSpan w:val="3"/>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1040"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本年收入合计</w:t>
            </w:r>
          </w:p>
        </w:tc>
        <w:tc>
          <w:tcPr>
            <w:tcW w:w="945" w:type="dxa"/>
            <w:vMerge w:val="restart"/>
            <w:tcBorders>
              <w:top w:val="single" w:color="auto" w:sz="8"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财政拨款收入</w:t>
            </w:r>
          </w:p>
        </w:tc>
        <w:tc>
          <w:tcPr>
            <w:tcW w:w="939"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上级补助收入</w:t>
            </w:r>
          </w:p>
        </w:tc>
        <w:tc>
          <w:tcPr>
            <w:tcW w:w="797"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事业收入</w:t>
            </w:r>
          </w:p>
        </w:tc>
        <w:tc>
          <w:tcPr>
            <w:tcW w:w="79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经营收入</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附属单位上缴收入</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trPr>
        <w:tc>
          <w:tcPr>
            <w:tcW w:w="1056" w:type="dxa"/>
            <w:gridSpan w:val="2"/>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511"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0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51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79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567" w:type="dxa"/>
            <w:gridSpan w:val="3"/>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1040"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4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93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797"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79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7</w:t>
            </w:r>
          </w:p>
        </w:tc>
      </w:tr>
      <w:tr>
        <w:tblPrEx>
          <w:tblLayout w:type="fixed"/>
          <w:tblCellMar>
            <w:top w:w="0" w:type="dxa"/>
            <w:left w:w="108" w:type="dxa"/>
            <w:bottom w:w="0" w:type="dxa"/>
            <w:right w:w="108" w:type="dxa"/>
          </w:tblCellMar>
        </w:tblPrEx>
        <w:trPr>
          <w:trHeight w:val="450" w:hRule="atLeast"/>
        </w:trPr>
        <w:tc>
          <w:tcPr>
            <w:tcW w:w="2567" w:type="dxa"/>
            <w:gridSpan w:val="3"/>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222.86</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218.29</w:t>
            </w:r>
          </w:p>
        </w:tc>
        <w:tc>
          <w:tcPr>
            <w:tcW w:w="939"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3.15</w:t>
            </w:r>
          </w:p>
        </w:tc>
        <w:tc>
          <w:tcPr>
            <w:tcW w:w="797"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1.06</w:t>
            </w:r>
          </w:p>
        </w:tc>
        <w:tc>
          <w:tcPr>
            <w:tcW w:w="796"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w:t>
            </w:r>
          </w:p>
        </w:tc>
        <w:tc>
          <w:tcPr>
            <w:tcW w:w="992"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w:t>
            </w:r>
          </w:p>
        </w:tc>
        <w:tc>
          <w:tcPr>
            <w:tcW w:w="1134" w:type="dxa"/>
            <w:tcBorders>
              <w:top w:val="nil"/>
              <w:left w:val="nil"/>
              <w:bottom w:val="single" w:color="auto" w:sz="4" w:space="0"/>
              <w:right w:val="single" w:color="auto" w:sz="8"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0.36</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教育支出</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222.86</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218.29</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r>
              <w:rPr>
                <w:rFonts w:hint="eastAsia"/>
                <w:kern w:val="0"/>
                <w:sz w:val="20"/>
                <w:szCs w:val="20"/>
                <w:lang w:val="en-US" w:eastAsia="zh-CN"/>
              </w:rPr>
              <w:t>3.15</w:t>
            </w: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r>
              <w:rPr>
                <w:rFonts w:hint="eastAsia"/>
                <w:kern w:val="0"/>
                <w:sz w:val="20"/>
                <w:szCs w:val="20"/>
                <w:lang w:val="en-US" w:eastAsia="zh-CN"/>
              </w:rPr>
              <w:t>1.06</w:t>
            </w: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0.36</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20502</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普通教育</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214.01</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209.44</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r>
              <w:rPr>
                <w:rFonts w:hint="eastAsia"/>
                <w:kern w:val="0"/>
                <w:sz w:val="20"/>
                <w:szCs w:val="20"/>
                <w:lang w:val="en-US" w:eastAsia="zh-CN"/>
              </w:rPr>
              <w:t>3.15</w:t>
            </w: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r>
              <w:rPr>
                <w:rFonts w:hint="eastAsia"/>
                <w:kern w:val="0"/>
                <w:sz w:val="20"/>
                <w:szCs w:val="20"/>
                <w:lang w:val="en-US" w:eastAsia="zh-CN"/>
              </w:rPr>
              <w:t>1.06</w:t>
            </w: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0.36</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2050202</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eastAsia="zh-CN"/>
              </w:rPr>
            </w:pPr>
            <w:r>
              <w:rPr>
                <w:rFonts w:hint="eastAsia" w:ascii="仿宋_GB2312" w:hAnsi="宋体" w:eastAsia="仿宋_GB2312" w:cs="宋体"/>
                <w:kern w:val="0"/>
                <w:sz w:val="24"/>
                <w:lang w:val="en-US" w:eastAsia="zh-CN"/>
              </w:rPr>
              <w:t>小学教育</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201.25</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196.68</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r>
              <w:rPr>
                <w:rFonts w:hint="eastAsia"/>
                <w:kern w:val="0"/>
                <w:sz w:val="20"/>
                <w:szCs w:val="20"/>
                <w:lang w:val="en-US" w:eastAsia="zh-CN"/>
              </w:rPr>
              <w:t>3.15</w:t>
            </w: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r>
              <w:rPr>
                <w:rFonts w:hint="eastAsia"/>
                <w:kern w:val="0"/>
                <w:sz w:val="20"/>
                <w:szCs w:val="20"/>
                <w:lang w:val="en-US" w:eastAsia="zh-CN"/>
              </w:rPr>
              <w:t>1.06</w:t>
            </w: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0.36</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2050299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其他普通教育支出</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12.75</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12.75</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20509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教育费附加安排支出</w:t>
            </w:r>
          </w:p>
        </w:tc>
        <w:tc>
          <w:tcPr>
            <w:tcW w:w="104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w:t>
            </w:r>
          </w:p>
        </w:tc>
        <w:tc>
          <w:tcPr>
            <w:tcW w:w="94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w:t>
            </w: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2050999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lang w:val="en-US" w:eastAsia="zh-CN"/>
              </w:rPr>
              <w:t>其他教育费附加安排支出</w:t>
            </w:r>
          </w:p>
        </w:tc>
        <w:tc>
          <w:tcPr>
            <w:tcW w:w="104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w:t>
            </w:r>
          </w:p>
        </w:tc>
        <w:tc>
          <w:tcPr>
            <w:tcW w:w="94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w:t>
            </w: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20599</w:t>
            </w:r>
          </w:p>
        </w:tc>
        <w:tc>
          <w:tcPr>
            <w:tcW w:w="1511" w:type="dxa"/>
            <w:tcBorders>
              <w:top w:val="nil"/>
              <w:left w:val="nil"/>
              <w:bottom w:val="single" w:color="auto" w:sz="4"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其他教育支出</w:t>
            </w:r>
          </w:p>
        </w:tc>
        <w:tc>
          <w:tcPr>
            <w:tcW w:w="1040"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6.86</w:t>
            </w:r>
          </w:p>
        </w:tc>
        <w:tc>
          <w:tcPr>
            <w:tcW w:w="945" w:type="dxa"/>
            <w:tcBorders>
              <w:top w:val="nil"/>
              <w:left w:val="nil"/>
              <w:bottom w:val="single" w:color="auto" w:sz="4" w:space="0"/>
              <w:right w:val="single" w:color="auto" w:sz="4" w:space="0"/>
            </w:tcBorders>
            <w:vAlign w:val="center"/>
          </w:tcPr>
          <w:p>
            <w:pPr>
              <w:widowControl/>
              <w:jc w:val="left"/>
              <w:rPr>
                <w:rFonts w:hint="eastAsia" w:eastAsia="宋体"/>
                <w:kern w:val="0"/>
                <w:sz w:val="20"/>
                <w:szCs w:val="20"/>
                <w:lang w:val="en-US" w:eastAsia="zh-CN"/>
              </w:rPr>
            </w:pPr>
            <w:r>
              <w:rPr>
                <w:rFonts w:hint="eastAsia"/>
                <w:kern w:val="0"/>
                <w:sz w:val="20"/>
                <w:szCs w:val="20"/>
                <w:lang w:val="en-US" w:eastAsia="zh-CN"/>
              </w:rPr>
              <w:t>6.86</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4"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left"/>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2059999</w:t>
            </w: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lang w:val="en-US" w:eastAsia="zh-CN"/>
              </w:rPr>
              <w:t>其他教育支出</w:t>
            </w:r>
          </w:p>
        </w:tc>
        <w:tc>
          <w:tcPr>
            <w:tcW w:w="1040" w:type="dxa"/>
            <w:tcBorders>
              <w:top w:val="nil"/>
              <w:left w:val="nil"/>
              <w:bottom w:val="single" w:color="auto" w:sz="8"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6.86</w:t>
            </w:r>
          </w:p>
        </w:tc>
        <w:tc>
          <w:tcPr>
            <w:tcW w:w="945" w:type="dxa"/>
            <w:tcBorders>
              <w:top w:val="nil"/>
              <w:left w:val="nil"/>
              <w:bottom w:val="single" w:color="auto" w:sz="8" w:space="0"/>
              <w:right w:val="single" w:color="auto" w:sz="4" w:space="0"/>
            </w:tcBorders>
            <w:vAlign w:val="center"/>
          </w:tcPr>
          <w:p>
            <w:pPr>
              <w:widowControl/>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6.86</w:t>
            </w: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p>
        </w:tc>
        <w:tc>
          <w:tcPr>
            <w:tcW w:w="1040"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p>
        </w:tc>
        <w:tc>
          <w:tcPr>
            <w:tcW w:w="1511" w:type="dxa"/>
            <w:tcBorders>
              <w:top w:val="nil"/>
              <w:left w:val="nil"/>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p>
        </w:tc>
        <w:tc>
          <w:tcPr>
            <w:tcW w:w="1040"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45"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39"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7"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796"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8" w:space="0"/>
              <w:right w:val="single" w:color="auto" w:sz="4" w:space="0"/>
            </w:tcBorders>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8"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w:t>
            </w:r>
          </w:p>
        </w:tc>
        <w:tc>
          <w:tcPr>
            <w:tcW w:w="1511" w:type="dxa"/>
            <w:tcBorders>
              <w:top w:val="nil"/>
              <w:left w:val="nil"/>
              <w:bottom w:val="single" w:color="auto" w:sz="8"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w:t>
            </w:r>
          </w:p>
        </w:tc>
        <w:tc>
          <w:tcPr>
            <w:tcW w:w="1040" w:type="dxa"/>
            <w:tcBorders>
              <w:top w:val="nil"/>
              <w:left w:val="nil"/>
              <w:bottom w:val="single" w:color="auto" w:sz="8" w:space="0"/>
              <w:right w:val="single" w:color="auto" w:sz="4" w:space="0"/>
            </w:tcBorders>
            <w:vAlign w:val="center"/>
          </w:tcPr>
          <w:p>
            <w:pPr>
              <w:widowControl/>
              <w:jc w:val="left"/>
              <w:rPr>
                <w:kern w:val="0"/>
                <w:sz w:val="20"/>
                <w:szCs w:val="20"/>
              </w:rPr>
            </w:pPr>
          </w:p>
        </w:tc>
        <w:tc>
          <w:tcPr>
            <w:tcW w:w="945" w:type="dxa"/>
            <w:tcBorders>
              <w:top w:val="nil"/>
              <w:left w:val="nil"/>
              <w:bottom w:val="single" w:color="auto" w:sz="8" w:space="0"/>
              <w:right w:val="single" w:color="auto" w:sz="4" w:space="0"/>
            </w:tcBorders>
            <w:vAlign w:val="center"/>
          </w:tcPr>
          <w:p>
            <w:pPr>
              <w:widowControl/>
              <w:jc w:val="left"/>
              <w:rPr>
                <w:kern w:val="0"/>
                <w:sz w:val="20"/>
                <w:szCs w:val="20"/>
              </w:rPr>
            </w:pPr>
          </w:p>
        </w:tc>
        <w:tc>
          <w:tcPr>
            <w:tcW w:w="939" w:type="dxa"/>
            <w:tcBorders>
              <w:top w:val="nil"/>
              <w:left w:val="nil"/>
              <w:bottom w:val="single" w:color="auto" w:sz="8" w:space="0"/>
              <w:right w:val="single" w:color="auto" w:sz="4" w:space="0"/>
            </w:tcBorders>
            <w:vAlign w:val="center"/>
          </w:tcPr>
          <w:p>
            <w:pPr>
              <w:widowControl/>
              <w:jc w:val="left"/>
              <w:rPr>
                <w:kern w:val="0"/>
                <w:sz w:val="20"/>
                <w:szCs w:val="20"/>
              </w:rPr>
            </w:pPr>
          </w:p>
        </w:tc>
        <w:tc>
          <w:tcPr>
            <w:tcW w:w="797" w:type="dxa"/>
            <w:tcBorders>
              <w:top w:val="nil"/>
              <w:left w:val="nil"/>
              <w:bottom w:val="single" w:color="auto" w:sz="8" w:space="0"/>
              <w:right w:val="single" w:color="auto" w:sz="4" w:space="0"/>
            </w:tcBorders>
            <w:vAlign w:val="center"/>
          </w:tcPr>
          <w:p>
            <w:pPr>
              <w:widowControl/>
              <w:jc w:val="left"/>
              <w:rPr>
                <w:kern w:val="0"/>
                <w:sz w:val="20"/>
                <w:szCs w:val="20"/>
              </w:rPr>
            </w:pPr>
          </w:p>
        </w:tc>
        <w:tc>
          <w:tcPr>
            <w:tcW w:w="796" w:type="dxa"/>
            <w:tcBorders>
              <w:top w:val="nil"/>
              <w:left w:val="nil"/>
              <w:bottom w:val="single" w:color="auto" w:sz="8" w:space="0"/>
              <w:right w:val="single" w:color="auto" w:sz="4" w:space="0"/>
            </w:tcBorders>
            <w:vAlign w:val="center"/>
          </w:tcPr>
          <w:p>
            <w:pPr>
              <w:widowControl/>
              <w:jc w:val="left"/>
              <w:rPr>
                <w:kern w:val="0"/>
                <w:sz w:val="20"/>
                <w:szCs w:val="20"/>
              </w:rPr>
            </w:pPr>
          </w:p>
        </w:tc>
        <w:tc>
          <w:tcPr>
            <w:tcW w:w="992" w:type="dxa"/>
            <w:tcBorders>
              <w:top w:val="nil"/>
              <w:left w:val="nil"/>
              <w:bottom w:val="single" w:color="auto" w:sz="8" w:space="0"/>
              <w:right w:val="single" w:color="auto" w:sz="4" w:space="0"/>
            </w:tcBorders>
            <w:vAlign w:val="center"/>
          </w:tcPr>
          <w:p>
            <w:pPr>
              <w:widowControl/>
              <w:jc w:val="left"/>
              <w:rPr>
                <w:kern w:val="0"/>
                <w:sz w:val="20"/>
                <w:szCs w:val="20"/>
              </w:rPr>
            </w:pPr>
          </w:p>
        </w:tc>
        <w:tc>
          <w:tcPr>
            <w:tcW w:w="1134" w:type="dxa"/>
            <w:tcBorders>
              <w:top w:val="nil"/>
              <w:left w:val="nil"/>
              <w:bottom w:val="single" w:color="auto" w:sz="8" w:space="0"/>
              <w:right w:val="single" w:color="auto" w:sz="8" w:space="0"/>
            </w:tcBorders>
            <w:vAlign w:val="center"/>
          </w:tcPr>
          <w:p>
            <w:pPr>
              <w:widowControl/>
              <w:jc w:val="left"/>
              <w:rPr>
                <w:kern w:val="0"/>
                <w:sz w:val="20"/>
                <w:szCs w:val="20"/>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注：本表反映部门本年度取得的各项收入情况。有关填表说明：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（3）1栏=（2+3+4+5+6+7）栏。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（5）该表数据来源于部门决算报表中的《收入决算表》（财决03表）。</w:t>
      </w:r>
    </w:p>
    <w:p>
      <w:pPr>
        <w:spacing w:line="360" w:lineRule="auto"/>
        <w:ind w:firstLine="523" w:firstLineChars="187"/>
        <w:rPr>
          <w:rFonts w:ascii="仿宋_GB2312" w:eastAsia="仿宋_GB2312"/>
          <w:sz w:val="28"/>
          <w:szCs w:val="28"/>
        </w:rPr>
      </w:pPr>
    </w:p>
    <w:p>
      <w:pPr>
        <w:spacing w:line="360" w:lineRule="auto"/>
        <w:ind w:firstLine="598" w:firstLineChars="187"/>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p>
      <w:pPr>
        <w:spacing w:line="360" w:lineRule="auto"/>
        <w:ind w:firstLine="374" w:firstLineChars="187"/>
        <w:jc w:val="left"/>
        <w:rPr>
          <w:rFonts w:ascii="宋体" w:hAnsi="宋体" w:cs="宋体"/>
          <w:color w:val="000000"/>
          <w:kern w:val="0"/>
          <w:sz w:val="20"/>
          <w:szCs w:val="20"/>
        </w:rPr>
      </w:pPr>
      <w:r>
        <w:rPr>
          <w:rFonts w:hint="eastAsia" w:ascii="宋体" w:hAnsi="宋体" w:cs="宋体"/>
          <w:color w:val="000000"/>
          <w:kern w:val="0"/>
          <w:sz w:val="20"/>
          <w:szCs w:val="20"/>
        </w:rPr>
        <w:t xml:space="preserve">                                                                      公开03表</w:t>
      </w:r>
    </w:p>
    <w:p>
      <w:pPr>
        <w:keepNext w:val="0"/>
        <w:keepLines w:val="0"/>
        <w:pageBreakBefore w:val="0"/>
        <w:widowControl w:val="0"/>
        <w:kinsoku/>
        <w:wordWrap/>
        <w:overflowPunct/>
        <w:topLinePunct w:val="0"/>
        <w:autoSpaceDE/>
        <w:autoSpaceDN/>
        <w:bidi w:val="0"/>
        <w:adjustRightInd/>
        <w:snapToGrid/>
        <w:spacing w:line="360" w:lineRule="auto"/>
        <w:ind w:firstLine="374" w:firstLineChars="187"/>
        <w:jc w:val="left"/>
        <w:textAlignment w:val="auto"/>
        <w:outlineLvl w:val="9"/>
        <w:rPr>
          <w:rFonts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eastAsia="zh-CN"/>
        </w:rPr>
        <w:t>汕头市濠江区华桥小学</w:t>
      </w:r>
      <w:r>
        <w:rPr>
          <w:rFonts w:hint="eastAsia" w:ascii="宋体" w:hAnsi="宋体" w:cs="宋体"/>
          <w:color w:val="000000"/>
          <w:kern w:val="0"/>
          <w:sz w:val="20"/>
          <w:szCs w:val="20"/>
        </w:rPr>
        <w:t xml:space="preserve">                                                                     单位：万元</w:t>
      </w:r>
    </w:p>
    <w:tbl>
      <w:tblPr>
        <w:tblStyle w:val="3"/>
        <w:tblW w:w="9176" w:type="dxa"/>
        <w:tblInd w:w="91" w:type="dxa"/>
        <w:tblLayout w:type="fixed"/>
        <w:tblCellMar>
          <w:top w:w="0" w:type="dxa"/>
          <w:left w:w="108" w:type="dxa"/>
          <w:bottom w:w="0" w:type="dxa"/>
          <w:right w:w="108" w:type="dxa"/>
        </w:tblCellMar>
      </w:tblPr>
      <w:tblGrid>
        <w:gridCol w:w="1225"/>
        <w:gridCol w:w="1909"/>
        <w:gridCol w:w="992"/>
        <w:gridCol w:w="956"/>
        <w:gridCol w:w="1055"/>
        <w:gridCol w:w="992"/>
        <w:gridCol w:w="913"/>
        <w:gridCol w:w="1134"/>
      </w:tblGrid>
      <w:tr>
        <w:tblPrEx>
          <w:tblLayout w:type="fixed"/>
          <w:tblCellMar>
            <w:top w:w="0" w:type="dxa"/>
            <w:left w:w="108" w:type="dxa"/>
            <w:bottom w:w="0" w:type="dxa"/>
            <w:right w:w="108" w:type="dxa"/>
          </w:tblCellMar>
        </w:tblPrEx>
        <w:trPr>
          <w:trHeight w:val="448" w:hRule="atLeast"/>
          <w:tblHeader/>
        </w:trPr>
        <w:tc>
          <w:tcPr>
            <w:tcW w:w="3134" w:type="dxa"/>
            <w:gridSpan w:val="2"/>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95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基本支出</w:t>
            </w:r>
          </w:p>
        </w:tc>
        <w:tc>
          <w:tcPr>
            <w:tcW w:w="1055"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上缴上级支出</w:t>
            </w:r>
          </w:p>
        </w:tc>
        <w:tc>
          <w:tcPr>
            <w:tcW w:w="913"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经营支出</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48" w:hRule="atLeast"/>
          <w:tblHeader/>
        </w:trPr>
        <w:tc>
          <w:tcPr>
            <w:tcW w:w="1225" w:type="dxa"/>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909"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1225"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9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3134" w:type="dxa"/>
            <w:gridSpan w:val="2"/>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5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05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3134" w:type="dxa"/>
            <w:gridSpan w:val="2"/>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228.34</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209.94</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18.40</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教育支出</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228.34</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209.94</w:t>
            </w:r>
          </w:p>
        </w:tc>
        <w:tc>
          <w:tcPr>
            <w:tcW w:w="1055"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18.40</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20502</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普通教育</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219.49</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206.74</w:t>
            </w:r>
          </w:p>
        </w:tc>
        <w:tc>
          <w:tcPr>
            <w:tcW w:w="1055"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12.75</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2050202</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小学教育</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206.74</w:t>
            </w:r>
          </w:p>
        </w:tc>
        <w:tc>
          <w:tcPr>
            <w:tcW w:w="956"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206.74</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仿宋_GB2312" w:hAnsi="宋体" w:eastAsia="仿宋_GB2312" w:cs="宋体"/>
                <w:kern w:val="0"/>
                <w:sz w:val="24"/>
                <w:lang w:val="en-US" w:eastAsia="zh-CN"/>
              </w:rPr>
              <w:t>2050299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其他普通教育支出</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12.75</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r>
              <w:rPr>
                <w:rFonts w:hint="eastAsia" w:ascii="宋体" w:hAnsi="宋体" w:cs="宋体"/>
                <w:kern w:val="0"/>
                <w:sz w:val="24"/>
                <w:lang w:val="en-US" w:eastAsia="zh-CN"/>
              </w:rPr>
              <w:t>12.75</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教育费附加安排支出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2050999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其他教育费附加安排支出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其他教育支出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6.86</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3.21</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3.65</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2059999</w:t>
            </w:r>
          </w:p>
        </w:tc>
        <w:tc>
          <w:tcPr>
            <w:tcW w:w="1909" w:type="dxa"/>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其他教育支出</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6.86</w:t>
            </w: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3.21</w:t>
            </w: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lang w:val="en-US" w:eastAsia="zh-CN"/>
              </w:rPr>
              <w:t>3.65</w:t>
            </w: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8" w:space="0"/>
              <w:right w:val="nil"/>
            </w:tcBorders>
            <w:shd w:val="clear" w:color="auto" w:fill="FFFFFF"/>
            <w:vAlign w:val="center"/>
          </w:tcPr>
          <w:p>
            <w:pPr>
              <w:widowControl/>
              <w:jc w:val="left"/>
              <w:rPr>
                <w:rFonts w:ascii="宋体" w:hAnsi="宋体" w:cs="宋体"/>
                <w:kern w:val="0"/>
                <w:sz w:val="24"/>
              </w:rPr>
            </w:pPr>
          </w:p>
        </w:tc>
        <w:tc>
          <w:tcPr>
            <w:tcW w:w="1909" w:type="dxa"/>
            <w:tcBorders>
              <w:top w:val="nil"/>
              <w:left w:val="single" w:color="auto" w:sz="4" w:space="0"/>
              <w:bottom w:val="single" w:color="auto" w:sz="8" w:space="0"/>
              <w:right w:val="single" w:color="auto" w:sz="4" w:space="0"/>
            </w:tcBorders>
            <w:shd w:val="clear" w:color="auto" w:fill="FFFFFF"/>
            <w:vAlign w:val="center"/>
          </w:tcPr>
          <w:p>
            <w:pPr>
              <w:widowControl/>
              <w:jc w:val="left"/>
              <w:rPr>
                <w:rFonts w:ascii="宋体" w:hAnsi="宋体" w:cs="宋体"/>
                <w:kern w:val="0"/>
                <w:sz w:val="24"/>
              </w:rPr>
            </w:pP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8" w:space="0"/>
              <w:right w:val="single" w:color="auto" w:sz="8" w:space="0"/>
            </w:tcBorders>
            <w:vAlign w:val="center"/>
          </w:tcPr>
          <w:p>
            <w:pPr>
              <w:widowControl/>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8" w:space="0"/>
              <w:right w:val="nil"/>
            </w:tcBorders>
            <w:shd w:val="clear" w:color="auto" w:fill="FFFFFF"/>
            <w:vAlign w:val="center"/>
          </w:tcPr>
          <w:p>
            <w:pPr>
              <w:widowControl/>
              <w:jc w:val="left"/>
              <w:rPr>
                <w:rFonts w:ascii="宋体" w:hAnsi="宋体" w:cs="宋体"/>
                <w:kern w:val="0"/>
                <w:sz w:val="24"/>
              </w:rPr>
            </w:pPr>
          </w:p>
        </w:tc>
        <w:tc>
          <w:tcPr>
            <w:tcW w:w="1909" w:type="dxa"/>
            <w:tcBorders>
              <w:top w:val="nil"/>
              <w:left w:val="single" w:color="auto" w:sz="4" w:space="0"/>
              <w:bottom w:val="single" w:color="auto" w:sz="8" w:space="0"/>
              <w:right w:val="single" w:color="auto" w:sz="4" w:space="0"/>
            </w:tcBorders>
            <w:shd w:val="clear" w:color="auto" w:fill="FFFFFF"/>
            <w:vAlign w:val="center"/>
          </w:tcPr>
          <w:p>
            <w:pPr>
              <w:widowControl/>
              <w:jc w:val="left"/>
              <w:rPr>
                <w:rFonts w:ascii="宋体" w:hAnsi="宋体" w:cs="宋体"/>
                <w:kern w:val="0"/>
                <w:sz w:val="24"/>
              </w:rPr>
            </w:pP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8"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225" w:type="dxa"/>
            <w:tcBorders>
              <w:top w:val="single" w:color="auto" w:sz="4" w:space="0"/>
              <w:left w:val="single" w:color="auto" w:sz="8" w:space="0"/>
              <w:bottom w:val="single" w:color="auto" w:sz="8" w:space="0"/>
              <w:right w:val="nil"/>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w:t>
            </w:r>
          </w:p>
        </w:tc>
        <w:tc>
          <w:tcPr>
            <w:tcW w:w="1909" w:type="dxa"/>
            <w:tcBorders>
              <w:top w:val="nil"/>
              <w:left w:val="single" w:color="auto" w:sz="4" w:space="0"/>
              <w:bottom w:val="single" w:color="auto" w:sz="8"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w:t>
            </w: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56"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055"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92"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8"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8" w:space="0"/>
              <w:right w:val="single" w:color="auto" w:sz="8" w:space="0"/>
            </w:tcBorders>
            <w:vAlign w:val="center"/>
          </w:tcPr>
          <w:p>
            <w:pPr>
              <w:widowControl/>
              <w:jc w:val="right"/>
              <w:rPr>
                <w:rFonts w:ascii="宋体" w:hAnsi="宋体" w:cs="宋体"/>
                <w:kern w:val="0"/>
                <w:sz w:val="24"/>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注：本表反映部门本年度各项支出情况。有关填表说明：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（3）1栏=（2+3+4+5+6）栏。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（5）该表数据来源于部门决算报表中的《支出决算表》（财决04表）。</w:t>
      </w:r>
    </w:p>
    <w:p>
      <w:pPr>
        <w:spacing w:line="288" w:lineRule="auto"/>
        <w:ind w:firstLine="643" w:firstLineChars="200"/>
        <w:rPr>
          <w:rFonts w:ascii="仿宋_GB2312" w:eastAsia="仿宋_GB2312"/>
          <w:b/>
          <w:sz w:val="32"/>
          <w:szCs w:val="32"/>
        </w:rPr>
      </w:pPr>
    </w:p>
    <w:p>
      <w:pPr>
        <w:spacing w:line="288" w:lineRule="auto"/>
        <w:ind w:firstLine="640" w:firstLineChars="200"/>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p>
      <w:pPr>
        <w:spacing w:line="288" w:lineRule="auto"/>
        <w:ind w:firstLine="400" w:firstLineChars="200"/>
        <w:jc w:val="right"/>
        <w:rPr>
          <w:rFonts w:ascii="宋体" w:hAnsi="宋体" w:cs="宋体"/>
          <w:color w:val="000000"/>
          <w:kern w:val="0"/>
          <w:sz w:val="20"/>
          <w:szCs w:val="20"/>
        </w:rPr>
      </w:pPr>
      <w:r>
        <w:rPr>
          <w:rFonts w:hint="eastAsia" w:ascii="宋体" w:hAnsi="宋体" w:cs="宋体"/>
          <w:color w:val="000000"/>
          <w:kern w:val="0"/>
          <w:sz w:val="20"/>
          <w:szCs w:val="20"/>
        </w:rPr>
        <w:t>公开04表</w:t>
      </w:r>
    </w:p>
    <w:p>
      <w:pPr>
        <w:spacing w:line="288" w:lineRule="auto"/>
        <w:ind w:firstLine="400" w:firstLineChars="200"/>
        <w:jc w:val="left"/>
        <w:rPr>
          <w:rFonts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eastAsia="zh-CN"/>
        </w:rPr>
        <w:t>汕头市濠江区华桥小学</w:t>
      </w:r>
      <w:r>
        <w:rPr>
          <w:rFonts w:hint="eastAsia" w:ascii="宋体" w:hAnsi="宋体" w:cs="宋体"/>
          <w:color w:val="000000"/>
          <w:kern w:val="0"/>
          <w:sz w:val="20"/>
          <w:szCs w:val="20"/>
        </w:rPr>
        <w:t xml:space="preserve">                                                                   单位：万元  </w:t>
      </w:r>
    </w:p>
    <w:tbl>
      <w:tblPr>
        <w:tblStyle w:val="3"/>
        <w:tblW w:w="8803" w:type="dxa"/>
        <w:tblInd w:w="91" w:type="dxa"/>
        <w:tblLayout w:type="fixed"/>
        <w:tblCellMar>
          <w:top w:w="0" w:type="dxa"/>
          <w:left w:w="108" w:type="dxa"/>
          <w:bottom w:w="0" w:type="dxa"/>
          <w:right w:w="108" w:type="dxa"/>
        </w:tblCellMar>
      </w:tblPr>
      <w:tblGrid>
        <w:gridCol w:w="1858"/>
        <w:gridCol w:w="350"/>
        <w:gridCol w:w="972"/>
        <w:gridCol w:w="2080"/>
        <w:gridCol w:w="476"/>
        <w:gridCol w:w="924"/>
        <w:gridCol w:w="931"/>
        <w:gridCol w:w="1212"/>
      </w:tblGrid>
      <w:tr>
        <w:tblPrEx>
          <w:tblLayout w:type="fixed"/>
          <w:tblCellMar>
            <w:top w:w="0" w:type="dxa"/>
            <w:left w:w="108" w:type="dxa"/>
            <w:bottom w:w="0" w:type="dxa"/>
            <w:right w:w="108" w:type="dxa"/>
          </w:tblCellMar>
        </w:tblPrEx>
        <w:trPr>
          <w:trHeight w:val="402" w:hRule="atLeast"/>
          <w:tblHeader/>
        </w:trPr>
        <w:tc>
          <w:tcPr>
            <w:tcW w:w="3180"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562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tblHead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72"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金额</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24"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931"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一般公共预算财政拨款</w:t>
            </w:r>
          </w:p>
        </w:tc>
        <w:tc>
          <w:tcPr>
            <w:tcW w:w="1212"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tblHeader/>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72"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24"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931"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1212"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一、一般公共预算财政拨款</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218.29</w:t>
            </w: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二、政府性基金预算财政拨款</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227.29</w:t>
            </w: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227.29</w:t>
            </w: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w:t>
            </w:r>
          </w:p>
        </w:tc>
        <w:tc>
          <w:tcPr>
            <w:tcW w:w="47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218.29</w:t>
            </w: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年初财政拨款结转和结余</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22.56</w:t>
            </w: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年末结转和结余</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13.56</w:t>
            </w: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13.56</w:t>
            </w: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一般公共预算财政拨款</w:t>
            </w:r>
          </w:p>
        </w:tc>
        <w:tc>
          <w:tcPr>
            <w:tcW w:w="35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政府性基金预算财政拨款</w:t>
            </w:r>
          </w:p>
        </w:tc>
        <w:tc>
          <w:tcPr>
            <w:tcW w:w="35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35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1858"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35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972"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240.85</w:t>
            </w:r>
            <w:r>
              <w:rPr>
                <w:rFonts w:hint="eastAsia" w:ascii="宋体" w:hAnsi="宋体" w:cs="宋体"/>
                <w:kern w:val="0"/>
                <w:sz w:val="22"/>
                <w:szCs w:val="22"/>
              </w:rPr>
              <w:t>　</w:t>
            </w:r>
          </w:p>
        </w:tc>
        <w:tc>
          <w:tcPr>
            <w:tcW w:w="2080"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28</w:t>
            </w:r>
          </w:p>
        </w:tc>
        <w:tc>
          <w:tcPr>
            <w:tcW w:w="924"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240.85</w:t>
            </w:r>
            <w:r>
              <w:rPr>
                <w:rFonts w:hint="eastAsia" w:ascii="宋体" w:hAnsi="宋体" w:cs="宋体"/>
                <w:kern w:val="0"/>
                <w:sz w:val="22"/>
                <w:szCs w:val="22"/>
              </w:rPr>
              <w:t>　</w:t>
            </w:r>
          </w:p>
        </w:tc>
        <w:tc>
          <w:tcPr>
            <w:tcW w:w="93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240.85</w:t>
            </w:r>
            <w:r>
              <w:rPr>
                <w:rFonts w:hint="eastAsia" w:ascii="宋体" w:hAnsi="宋体" w:cs="宋体"/>
                <w:kern w:val="0"/>
                <w:sz w:val="22"/>
                <w:szCs w:val="22"/>
              </w:rPr>
              <w:t>　</w:t>
            </w:r>
          </w:p>
        </w:tc>
        <w:tc>
          <w:tcPr>
            <w:tcW w:w="1212"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注：本表反映部门本年度财政拨款的总收支和年末结转结余情况。有关填表说明：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（4）此表没有发生数据的，在合计栏填“0”，并在该表下方附简要说明。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（5）该表数据来源于部门决算报表中的《财政拨款收入支出决算总表》（财决01-1表）。</w:t>
      </w:r>
    </w:p>
    <w:p>
      <w:pPr>
        <w:spacing w:line="288" w:lineRule="auto"/>
        <w:rPr>
          <w:rFonts w:ascii="仿宋_GB2312" w:eastAsia="仿宋_GB2312"/>
          <w:b/>
          <w:sz w:val="32"/>
          <w:szCs w:val="32"/>
        </w:rPr>
      </w:pPr>
    </w:p>
    <w:tbl>
      <w:tblPr>
        <w:tblStyle w:val="3"/>
        <w:tblW w:w="8946" w:type="dxa"/>
        <w:tblInd w:w="93" w:type="dxa"/>
        <w:tblLayout w:type="fixed"/>
        <w:tblCellMar>
          <w:top w:w="0" w:type="dxa"/>
          <w:left w:w="108" w:type="dxa"/>
          <w:bottom w:w="0" w:type="dxa"/>
          <w:right w:w="108" w:type="dxa"/>
        </w:tblCellMar>
      </w:tblPr>
      <w:tblGrid>
        <w:gridCol w:w="560"/>
        <w:gridCol w:w="560"/>
        <w:gridCol w:w="1872"/>
        <w:gridCol w:w="1985"/>
        <w:gridCol w:w="1984"/>
        <w:gridCol w:w="1985"/>
      </w:tblGrid>
      <w:tr>
        <w:tblPrEx>
          <w:tblLayout w:type="fixed"/>
          <w:tblCellMar>
            <w:top w:w="0" w:type="dxa"/>
            <w:left w:w="108" w:type="dxa"/>
            <w:bottom w:w="0" w:type="dxa"/>
            <w:right w:w="108" w:type="dxa"/>
          </w:tblCellMar>
        </w:tblPrEx>
        <w:trPr>
          <w:trHeight w:val="600" w:hRule="atLeast"/>
        </w:trPr>
        <w:tc>
          <w:tcPr>
            <w:tcW w:w="8946" w:type="dxa"/>
            <w:gridSpan w:val="6"/>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一般公共预算财政拨款支出决算表</w:t>
            </w:r>
          </w:p>
        </w:tc>
      </w:tr>
      <w:tr>
        <w:tblPrEx>
          <w:tblLayout w:type="fixed"/>
          <w:tblCellMar>
            <w:top w:w="0" w:type="dxa"/>
            <w:left w:w="108" w:type="dxa"/>
            <w:bottom w:w="0" w:type="dxa"/>
            <w:right w:w="108" w:type="dxa"/>
          </w:tblCellMar>
        </w:tblPrEx>
        <w:trPr>
          <w:trHeight w:val="222" w:hRule="atLeast"/>
        </w:trPr>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公开05表</w:t>
            </w:r>
          </w:p>
        </w:tc>
      </w:tr>
      <w:tr>
        <w:tblPrEx>
          <w:tblLayout w:type="fixed"/>
          <w:tblCellMar>
            <w:top w:w="0" w:type="dxa"/>
            <w:left w:w="108" w:type="dxa"/>
            <w:bottom w:w="0" w:type="dxa"/>
            <w:right w:w="108" w:type="dxa"/>
          </w:tblCellMar>
        </w:tblPrEx>
        <w:trPr>
          <w:trHeight w:val="300" w:hRule="atLeast"/>
        </w:trPr>
        <w:tc>
          <w:tcPr>
            <w:tcW w:w="1120"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color w:val="000000"/>
                <w:kern w:val="0"/>
                <w:sz w:val="20"/>
                <w:szCs w:val="20"/>
                <w:lang w:eastAsia="zh-CN"/>
              </w:rPr>
              <w:t>汕头市濠江区华桥小学</w:t>
            </w:r>
            <w:r>
              <w:rPr>
                <w:rFonts w:hint="eastAsia" w:ascii="宋体" w:hAnsi="宋体" w:cs="宋体"/>
                <w:kern w:val="0"/>
                <w:sz w:val="20"/>
                <w:szCs w:val="20"/>
              </w:rPr>
              <w:t>　</w:t>
            </w:r>
          </w:p>
        </w:tc>
        <w:tc>
          <w:tcPr>
            <w:tcW w:w="1985"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992"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1985"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19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1985"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trPr>
        <w:tc>
          <w:tcPr>
            <w:tcW w:w="1120"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87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6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3</w:t>
            </w: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228.34</w:t>
            </w:r>
            <w:r>
              <w:rPr>
                <w:rFonts w:hint="eastAsia" w:ascii="宋体" w:hAnsi="宋体" w:cs="宋体"/>
                <w:kern w:val="0"/>
                <w:sz w:val="24"/>
              </w:rPr>
              <w:t>　</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209.94</w:t>
            </w: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18.40</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教育支出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228.34</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209.94</w:t>
            </w: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18.40</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20502</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普通教育</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219.49</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206.74</w:t>
            </w: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12.75</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2050202</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小学教育</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206.74</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206.74</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仿宋_GB2312" w:hAnsi="宋体" w:eastAsia="仿宋_GB2312" w:cs="宋体"/>
                <w:kern w:val="0"/>
                <w:sz w:val="24"/>
                <w:lang w:val="en-US" w:eastAsia="zh-CN"/>
              </w:rPr>
              <w:t>2050299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其他普通教育支出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12.75</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12.75</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教育费附加安排支出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2050999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其他教育费附加安排支出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2</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20599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其他教育支出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6.86</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3.65</w:t>
            </w: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3.65</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2059999</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lang w:val="en-US" w:eastAsia="zh-CN"/>
              </w:rPr>
              <w:t>其他教育支出</w:t>
            </w:r>
          </w:p>
        </w:tc>
        <w:tc>
          <w:tcPr>
            <w:tcW w:w="1985"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6.86</w:t>
            </w:r>
          </w:p>
        </w:tc>
        <w:tc>
          <w:tcPr>
            <w:tcW w:w="1984"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3.65</w:t>
            </w:r>
          </w:p>
        </w:tc>
        <w:tc>
          <w:tcPr>
            <w:tcW w:w="1985"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3.65</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仿宋_GB2312" w:hAnsi="宋体" w:eastAsia="仿宋_GB2312" w:cs="宋体"/>
                <w:kern w:val="0"/>
                <w:sz w:val="24"/>
              </w:rPr>
              <w:t>……</w:t>
            </w: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4"/>
              </w:rPr>
              <w:t>……</w:t>
            </w: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8"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1872"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985" w:type="dxa"/>
            <w:tcBorders>
              <w:top w:val="nil"/>
              <w:left w:val="nil"/>
              <w:bottom w:val="single" w:color="auto" w:sz="8"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注：本表反映部门本年度一般公共预算财政拨款实际支出情况。有关填表说明：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（5）该表数据来源于部门决算报表中的《一般公共预算财政拨款收入支出决算表》（财决07表）和《项目收入支出决算表》（财决06表）。</w:t>
      </w:r>
    </w:p>
    <w:p>
      <w:pPr>
        <w:spacing w:line="288" w:lineRule="auto"/>
        <w:ind w:firstLine="643" w:firstLineChars="200"/>
        <w:rPr>
          <w:rFonts w:ascii="仿宋_GB2312" w:eastAsia="仿宋_GB2312"/>
          <w:b/>
          <w:sz w:val="32"/>
          <w:szCs w:val="32"/>
        </w:rPr>
      </w:pPr>
    </w:p>
    <w:p>
      <w:pPr>
        <w:spacing w:line="288" w:lineRule="auto"/>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一般公共预算财政拨款基本支出决算表</w:t>
      </w:r>
    </w:p>
    <w:p>
      <w:pPr>
        <w:spacing w:line="288" w:lineRule="auto"/>
        <w:jc w:val="right"/>
        <w:rPr>
          <w:rFonts w:ascii="宋体" w:hAnsi="宋体" w:cs="宋体"/>
          <w:color w:val="000000"/>
          <w:kern w:val="0"/>
          <w:sz w:val="20"/>
          <w:szCs w:val="20"/>
        </w:rPr>
      </w:pPr>
      <w:r>
        <w:rPr>
          <w:rFonts w:hint="eastAsia" w:ascii="宋体" w:hAnsi="宋体" w:cs="宋体"/>
          <w:color w:val="000000"/>
          <w:kern w:val="0"/>
          <w:sz w:val="20"/>
          <w:szCs w:val="20"/>
        </w:rPr>
        <w:t>公开06表</w:t>
      </w:r>
    </w:p>
    <w:p>
      <w:pPr>
        <w:spacing w:line="288" w:lineRule="auto"/>
        <w:jc w:val="left"/>
        <w:rPr>
          <w:rFonts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eastAsia="zh-CN"/>
        </w:rPr>
        <w:t>汕头市濠江区华桥小学</w:t>
      </w:r>
      <w:r>
        <w:rPr>
          <w:rFonts w:hint="eastAsia" w:ascii="宋体" w:hAnsi="宋体" w:cs="宋体"/>
          <w:color w:val="000000"/>
          <w:kern w:val="0"/>
          <w:sz w:val="20"/>
          <w:szCs w:val="20"/>
        </w:rPr>
        <w:t xml:space="preserve">                                                                        单位：万元</w:t>
      </w: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2210"/>
        <w:gridCol w:w="1086"/>
        <w:gridCol w:w="1240"/>
        <w:gridCol w:w="215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4537"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人员经费</w:t>
            </w:r>
          </w:p>
        </w:tc>
        <w:tc>
          <w:tcPr>
            <w:tcW w:w="4523" w:type="dxa"/>
            <w:gridSpan w:val="3"/>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blHeader/>
        </w:trPr>
        <w:tc>
          <w:tcPr>
            <w:tcW w:w="1241"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21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1086"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c>
          <w:tcPr>
            <w:tcW w:w="124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15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1133"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241" w:type="dxa"/>
            <w:vMerge w:val="continue"/>
            <w:vAlign w:val="center"/>
          </w:tcPr>
          <w:p>
            <w:pPr>
              <w:widowControl/>
              <w:jc w:val="left"/>
              <w:rPr>
                <w:rFonts w:ascii="仿宋" w:hAnsi="仿宋" w:eastAsia="仿宋" w:cs="宋体"/>
                <w:color w:val="000000"/>
                <w:kern w:val="0"/>
                <w:sz w:val="24"/>
              </w:rPr>
            </w:pPr>
          </w:p>
        </w:tc>
        <w:tc>
          <w:tcPr>
            <w:tcW w:w="2210" w:type="dxa"/>
            <w:vMerge w:val="continue"/>
            <w:vAlign w:val="center"/>
          </w:tcPr>
          <w:p>
            <w:pPr>
              <w:widowControl/>
              <w:jc w:val="left"/>
              <w:rPr>
                <w:rFonts w:ascii="仿宋" w:hAnsi="仿宋" w:eastAsia="仿宋" w:cs="宋体"/>
                <w:color w:val="000000"/>
                <w:kern w:val="0"/>
                <w:sz w:val="24"/>
              </w:rPr>
            </w:pPr>
          </w:p>
        </w:tc>
        <w:tc>
          <w:tcPr>
            <w:tcW w:w="1086" w:type="dxa"/>
            <w:vMerge w:val="continue"/>
            <w:vAlign w:val="center"/>
          </w:tcPr>
          <w:p>
            <w:pPr>
              <w:widowControl/>
              <w:jc w:val="left"/>
              <w:rPr>
                <w:rFonts w:ascii="仿宋" w:hAnsi="仿宋" w:eastAsia="仿宋" w:cs="宋体"/>
                <w:color w:val="000000"/>
                <w:kern w:val="0"/>
                <w:sz w:val="24"/>
              </w:rPr>
            </w:pPr>
          </w:p>
        </w:tc>
        <w:tc>
          <w:tcPr>
            <w:tcW w:w="1240" w:type="dxa"/>
            <w:vMerge w:val="continue"/>
            <w:vAlign w:val="center"/>
          </w:tcPr>
          <w:p>
            <w:pPr>
              <w:widowControl/>
              <w:jc w:val="left"/>
              <w:rPr>
                <w:rFonts w:ascii="仿宋" w:hAnsi="仿宋" w:eastAsia="仿宋" w:cs="宋体"/>
                <w:color w:val="000000"/>
                <w:kern w:val="0"/>
                <w:sz w:val="24"/>
              </w:rPr>
            </w:pPr>
          </w:p>
        </w:tc>
        <w:tc>
          <w:tcPr>
            <w:tcW w:w="2150" w:type="dxa"/>
            <w:vMerge w:val="continue"/>
            <w:vAlign w:val="center"/>
          </w:tcPr>
          <w:p>
            <w:pPr>
              <w:widowControl/>
              <w:jc w:val="left"/>
              <w:rPr>
                <w:rFonts w:ascii="仿宋" w:hAnsi="仿宋" w:eastAsia="仿宋" w:cs="宋体"/>
                <w:color w:val="000000"/>
                <w:kern w:val="0"/>
                <w:sz w:val="24"/>
              </w:rPr>
            </w:pPr>
          </w:p>
        </w:tc>
        <w:tc>
          <w:tcPr>
            <w:tcW w:w="1133" w:type="dxa"/>
            <w:vMerge w:val="continue"/>
            <w:vAlign w:val="center"/>
          </w:tcPr>
          <w:p>
            <w:pPr>
              <w:widowControl/>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工资福利支出</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143.12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w:t>
            </w:r>
          </w:p>
        </w:tc>
        <w:tc>
          <w:tcPr>
            <w:tcW w:w="215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商品和服务支出</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19.90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30101</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基本工资</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53.34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30102</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津贴补贴</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53.08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30202</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印刷费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30103</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奖金</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4.45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30203</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咨询费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30104</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其他社会保障缴费</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4.72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30204</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手续费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30106</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伙食补助费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30205</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水费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30107</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绩效工资</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15.39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30206</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电费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30108</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机关事业单位基本养老保险缴费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30207</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邮电费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30109</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职业年金缴费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30208</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取暖费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30199</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其他工资福利支出</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12.14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物业管理费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对个人和家庭的补助</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44.46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差旅费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30301</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离休费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30212</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因公出国（境）费用</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30302</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退休费</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30.22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30213</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维修(护)费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4.51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30303</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退职（役）费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30214</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租赁费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30304</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抚恤金</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30215</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会议费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30305</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生活补助</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0.52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30216</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培训费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30306</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救济费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30217</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公务接待费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30307</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医疗费</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30218</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专用材料费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7.46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30308</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助学金</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30224</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被装购置费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30309</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奖励金</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30225</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专用燃料费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30310</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生产补贴</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30226</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劳务费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30311</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住房公积金</w:t>
            </w:r>
          </w:p>
        </w:tc>
        <w:tc>
          <w:tcPr>
            <w:tcW w:w="1086"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13.72 </w:t>
            </w: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30227</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委托业务费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30312</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提租补贴</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30228</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工会经费</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30313</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购房补贴</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福利费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30314</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采暖补贴</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公务用车运行维护费</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30315</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物业服务补贴</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其他交通费用</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30399</w:t>
            </w:r>
          </w:p>
        </w:tc>
        <w:tc>
          <w:tcPr>
            <w:tcW w:w="22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其他对个人和家庭的补助支出</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30240</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税金及附加费用</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30299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其他商品和服务支出</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5.02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w:t>
            </w:r>
          </w:p>
        </w:tc>
        <w:tc>
          <w:tcPr>
            <w:tcW w:w="215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其他资本性支出</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房屋建筑物购建</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31002</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办公设备购置</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31003</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专用设备购置</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31005</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基础设施建设</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31006</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大型修缮</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31007</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信息网络及软件购置更新</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31008</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物资储备</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土地补偿</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31010</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安置补助</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地上附着物和青苗补偿</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31012</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拆迁补偿</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31013</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公务用车购置</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其他交通工具购置</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31020</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产权参股</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31099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其他资本性支出</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w:t>
            </w:r>
          </w:p>
        </w:tc>
        <w:tc>
          <w:tcPr>
            <w:tcW w:w="215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对企事业单位的补贴</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企业政策性补贴</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30402</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事业单位补贴</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30403</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财政贴息</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30499</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其他对企事业单位的补贴</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w:t>
            </w:r>
          </w:p>
        </w:tc>
        <w:tc>
          <w:tcPr>
            <w:tcW w:w="215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债务利息支出</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30701</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国内债务付息</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30707</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国外债务付息</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w:t>
            </w:r>
          </w:p>
        </w:tc>
        <w:tc>
          <w:tcPr>
            <w:tcW w:w="215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其他支出</w:t>
            </w:r>
          </w:p>
        </w:tc>
        <w:tc>
          <w:tcPr>
            <w:tcW w:w="1133" w:type="dxa"/>
            <w:vAlign w:val="center"/>
          </w:tcPr>
          <w:p>
            <w:pPr>
              <w:keepNext w:val="0"/>
              <w:keepLines w:val="0"/>
              <w:widowControl/>
              <w:suppressLineNumbers w:val="0"/>
              <w:jc w:val="right"/>
              <w:textAlignment w:val="center"/>
              <w:rPr>
                <w:rFonts w:ascii="仿宋" w:hAnsi="仿宋" w:eastAsia="仿宋"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2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1086" w:type="dxa"/>
            <w:vAlign w:val="center"/>
          </w:tcPr>
          <w:p>
            <w:pPr>
              <w:jc w:val="right"/>
              <w:rPr>
                <w:rFonts w:ascii="仿宋" w:hAnsi="仿宋" w:eastAsia="仿宋" w:cs="Arial"/>
                <w:color w:val="000000"/>
                <w:kern w:val="0"/>
                <w:sz w:val="24"/>
              </w:rPr>
            </w:pPr>
          </w:p>
        </w:tc>
        <w:tc>
          <w:tcPr>
            <w:tcW w:w="124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39906</w:t>
            </w:r>
          </w:p>
        </w:tc>
        <w:tc>
          <w:tcPr>
            <w:tcW w:w="215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赠与</w:t>
            </w:r>
          </w:p>
        </w:tc>
        <w:tc>
          <w:tcPr>
            <w:tcW w:w="1133" w:type="dxa"/>
            <w:vAlign w:val="center"/>
          </w:tcPr>
          <w:p>
            <w:pPr>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451" w:type="dxa"/>
            <w:gridSpan w:val="2"/>
            <w:vAlign w:val="center"/>
          </w:tcPr>
          <w:p>
            <w:pPr>
              <w:widowControl/>
              <w:jc w:val="center"/>
              <w:rPr>
                <w:rFonts w:ascii="宋体" w:hAnsi="宋体" w:cs="宋体"/>
                <w:color w:val="000000"/>
                <w:kern w:val="0"/>
                <w:sz w:val="24"/>
              </w:rPr>
            </w:pPr>
            <w:r>
              <w:rPr>
                <w:rFonts w:hint="eastAsia" w:ascii="宋体" w:hAnsi="宋体" w:cs="宋体"/>
                <w:color w:val="000000"/>
                <w:kern w:val="0"/>
                <w:sz w:val="24"/>
              </w:rPr>
              <w:t>人员经费合计</w:t>
            </w:r>
          </w:p>
        </w:tc>
        <w:tc>
          <w:tcPr>
            <w:tcW w:w="1086" w:type="dxa"/>
            <w:vAlign w:val="center"/>
          </w:tcPr>
          <w:p>
            <w:pPr>
              <w:keepNext w:val="0"/>
              <w:keepLines w:val="0"/>
              <w:widowControl/>
              <w:suppressLineNumbers w:val="0"/>
              <w:jc w:val="right"/>
              <w:textAlignment w:val="center"/>
              <w:rPr>
                <w:rFonts w:ascii="宋体" w:hAnsi="宋体" w:cs="Arial"/>
                <w:color w:val="000000"/>
                <w:kern w:val="0"/>
                <w:sz w:val="24"/>
              </w:rPr>
            </w:pPr>
            <w:r>
              <w:rPr>
                <w:rFonts w:hint="eastAsia" w:ascii="宋体" w:hAnsi="宋体" w:eastAsia="宋体" w:cs="宋体"/>
                <w:i w:val="0"/>
                <w:color w:val="000000"/>
                <w:kern w:val="0"/>
                <w:sz w:val="24"/>
                <w:szCs w:val="24"/>
                <w:u w:val="none"/>
                <w:lang w:val="en-US" w:eastAsia="zh-CN" w:bidi="ar"/>
              </w:rPr>
              <w:t xml:space="preserve"> 187.58 </w:t>
            </w:r>
          </w:p>
        </w:tc>
        <w:tc>
          <w:tcPr>
            <w:tcW w:w="4523" w:type="dxa"/>
            <w:gridSpan w:val="3"/>
            <w:vAlign w:val="center"/>
          </w:tcPr>
          <w:p>
            <w:pPr>
              <w:widowControl/>
              <w:jc w:val="center"/>
              <w:rPr>
                <w:rFonts w:hint="eastAsia" w:ascii="宋体" w:hAnsi="宋体" w:eastAsia="宋体" w:cs="宋体"/>
                <w:color w:val="000000"/>
                <w:kern w:val="0"/>
                <w:sz w:val="24"/>
                <w:lang w:val="en-US" w:eastAsia="zh-CN"/>
              </w:rPr>
            </w:pPr>
            <w:r>
              <w:rPr>
                <w:rFonts w:hint="eastAsia" w:ascii="宋体" w:hAnsi="宋体" w:cs="宋体"/>
                <w:color w:val="000000"/>
                <w:kern w:val="0"/>
                <w:sz w:val="24"/>
              </w:rPr>
              <w:t>公用经费合计</w:t>
            </w:r>
            <w:r>
              <w:rPr>
                <w:rFonts w:hint="eastAsia" w:ascii="宋体" w:hAnsi="宋体" w:cs="宋体"/>
                <w:color w:val="000000"/>
                <w:kern w:val="0"/>
                <w:sz w:val="24"/>
                <w:lang w:val="en-US" w:eastAsia="zh-CN"/>
              </w:rPr>
              <w:t xml:space="preserve">            21.31</w:t>
            </w:r>
          </w:p>
        </w:tc>
      </w:tr>
    </w:tbl>
    <w:p>
      <w:pPr>
        <w:snapToGrid w:val="0"/>
        <w:spacing w:line="336" w:lineRule="auto"/>
        <w:rPr>
          <w:rFonts w:ascii="仿宋_GB2312" w:eastAsia="仿宋_GB2312"/>
          <w:sz w:val="28"/>
          <w:szCs w:val="28"/>
        </w:rPr>
      </w:pPr>
      <w:r>
        <w:rPr>
          <w:rFonts w:hint="eastAsia" w:ascii="仿宋_GB2312" w:eastAsia="仿宋_GB2312"/>
          <w:sz w:val="28"/>
          <w:szCs w:val="28"/>
        </w:rPr>
        <w:t>注：本表反映部门本年度一般公共预算财政拨款基本支出明细情况。有关填表说明：</w:t>
      </w:r>
    </w:p>
    <w:p>
      <w:pPr>
        <w:snapToGrid w:val="0"/>
        <w:spacing w:line="336" w:lineRule="auto"/>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napToGrid w:val="0"/>
        <w:spacing w:line="336" w:lineRule="auto"/>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本表经济分类科目填列到款级支出科目，没有发生数的支出科目不用填列。</w:t>
      </w:r>
    </w:p>
    <w:p>
      <w:pPr>
        <w:snapToGrid w:val="0"/>
        <w:spacing w:line="336" w:lineRule="auto"/>
        <w:ind w:firstLine="523" w:firstLineChars="187"/>
        <w:rPr>
          <w:rFonts w:ascii="仿宋_GB2312" w:eastAsia="仿宋_GB2312"/>
          <w:sz w:val="28"/>
          <w:szCs w:val="28"/>
        </w:rPr>
      </w:pPr>
      <w:r>
        <w:rPr>
          <w:rFonts w:hint="eastAsia" w:ascii="仿宋_GB2312" w:hAnsi="宋体" w:eastAsia="仿宋_GB2312"/>
          <w:sz w:val="28"/>
          <w:szCs w:val="28"/>
        </w:rPr>
        <w:t>（3）</w:t>
      </w:r>
      <w:r>
        <w:rPr>
          <w:rFonts w:hint="eastAsia" w:ascii="仿宋_GB2312" w:eastAsia="仿宋_GB2312"/>
          <w:sz w:val="28"/>
          <w:szCs w:val="28"/>
        </w:rPr>
        <w:t>此表没有发生数据的，在合计行填“0”，并在该表下方附简要说明。</w:t>
      </w:r>
    </w:p>
    <w:p>
      <w:pPr>
        <w:snapToGrid w:val="0"/>
        <w:spacing w:line="336" w:lineRule="auto"/>
        <w:ind w:firstLine="560" w:firstLineChars="200"/>
        <w:rPr>
          <w:rFonts w:ascii="仿宋_GB2312" w:eastAsia="仿宋_GB2312"/>
          <w:sz w:val="28"/>
          <w:szCs w:val="28"/>
        </w:rPr>
      </w:pPr>
      <w:r>
        <w:rPr>
          <w:rFonts w:hint="eastAsia" w:ascii="仿宋_GB2312" w:eastAsia="仿宋_GB2312"/>
          <w:sz w:val="28"/>
          <w:szCs w:val="28"/>
        </w:rPr>
        <w:t>（4）该表数据来源于部门决算报表中的《一般公共预算财政拨款基本支出决算明细表》（财决08-1表）。</w:t>
      </w:r>
    </w:p>
    <w:p>
      <w:pPr>
        <w:spacing w:line="288" w:lineRule="auto"/>
        <w:rPr>
          <w:rFonts w:ascii="仿宋_GB2312" w:eastAsia="仿宋_GB2312"/>
          <w:b/>
          <w:sz w:val="32"/>
          <w:szCs w:val="32"/>
        </w:rPr>
      </w:pPr>
    </w:p>
    <w:tbl>
      <w:tblPr>
        <w:tblStyle w:val="3"/>
        <w:tblW w:w="9215" w:type="dxa"/>
        <w:tblInd w:w="-176" w:type="dxa"/>
        <w:tblLayout w:type="fixed"/>
        <w:tblCellMar>
          <w:top w:w="0" w:type="dxa"/>
          <w:left w:w="108" w:type="dxa"/>
          <w:bottom w:w="0" w:type="dxa"/>
          <w:right w:w="108" w:type="dxa"/>
        </w:tblCellMar>
      </w:tblPr>
      <w:tblGrid>
        <w:gridCol w:w="269"/>
        <w:gridCol w:w="532"/>
        <w:gridCol w:w="151"/>
        <w:gridCol w:w="373"/>
        <w:gridCol w:w="353"/>
        <w:gridCol w:w="605"/>
        <w:gridCol w:w="709"/>
        <w:gridCol w:w="127"/>
        <w:gridCol w:w="704"/>
        <w:gridCol w:w="289"/>
        <w:gridCol w:w="515"/>
        <w:gridCol w:w="529"/>
        <w:gridCol w:w="81"/>
        <w:gridCol w:w="886"/>
        <w:gridCol w:w="32"/>
        <w:gridCol w:w="645"/>
        <w:gridCol w:w="155"/>
        <w:gridCol w:w="663"/>
        <w:gridCol w:w="305"/>
        <w:gridCol w:w="436"/>
        <w:gridCol w:w="698"/>
        <w:gridCol w:w="158"/>
      </w:tblGrid>
      <w:tr>
        <w:tblPrEx>
          <w:tblLayout w:type="fixed"/>
        </w:tblPrEx>
        <w:trPr>
          <w:trHeight w:val="600" w:hRule="atLeast"/>
        </w:trPr>
        <w:tc>
          <w:tcPr>
            <w:tcW w:w="9215" w:type="dxa"/>
            <w:gridSpan w:val="22"/>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一般公共预算财政拨款“三公”经费支出决算表</w:t>
            </w:r>
          </w:p>
        </w:tc>
      </w:tr>
      <w:tr>
        <w:tblPrEx>
          <w:tblLayout w:type="fixed"/>
          <w:tblCellMar>
            <w:top w:w="0" w:type="dxa"/>
            <w:left w:w="108" w:type="dxa"/>
            <w:bottom w:w="0" w:type="dxa"/>
            <w:right w:w="108" w:type="dxa"/>
          </w:tblCellMar>
        </w:tblPrEx>
        <w:trPr>
          <w:gridBefore w:val="1"/>
          <w:gridAfter w:val="1"/>
          <w:wBefore w:w="269" w:type="dxa"/>
          <w:wAfter w:w="158" w:type="dxa"/>
          <w:trHeight w:val="222" w:hRule="atLeast"/>
        </w:trPr>
        <w:tc>
          <w:tcPr>
            <w:tcW w:w="683" w:type="dxa"/>
            <w:gridSpan w:val="2"/>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3"/>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公开07表</w:t>
            </w:r>
          </w:p>
        </w:tc>
      </w:tr>
      <w:tr>
        <w:tblPrEx>
          <w:tblLayout w:type="fixed"/>
          <w:tblCellMar>
            <w:top w:w="0" w:type="dxa"/>
            <w:left w:w="108" w:type="dxa"/>
            <w:bottom w:w="0" w:type="dxa"/>
            <w:right w:w="108" w:type="dxa"/>
          </w:tblCellMar>
        </w:tblPrEx>
        <w:trPr>
          <w:gridBefore w:val="1"/>
          <w:gridAfter w:val="1"/>
          <w:wBefore w:w="269" w:type="dxa"/>
          <w:wAfter w:w="158" w:type="dxa"/>
          <w:trHeight w:val="300" w:hRule="atLeast"/>
        </w:trPr>
        <w:tc>
          <w:tcPr>
            <w:tcW w:w="1056" w:type="dxa"/>
            <w:gridSpan w:val="3"/>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color w:val="000000"/>
                <w:kern w:val="0"/>
                <w:sz w:val="20"/>
                <w:szCs w:val="20"/>
                <w:lang w:eastAsia="zh-CN"/>
              </w:rPr>
              <w:t>汕头市濠江区华桥小学</w:t>
            </w:r>
            <w:r>
              <w:rPr>
                <w:rFonts w:hint="eastAsia" w:ascii="宋体" w:hAnsi="宋体" w:cs="宋体"/>
                <w:kern w:val="0"/>
                <w:sz w:val="20"/>
                <w:szCs w:val="20"/>
              </w:rPr>
              <w:t>　</w:t>
            </w:r>
          </w:p>
        </w:tc>
        <w:tc>
          <w:tcPr>
            <w:tcW w:w="993"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3"/>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559" w:hRule="atLeast"/>
        </w:trPr>
        <w:tc>
          <w:tcPr>
            <w:tcW w:w="4627" w:type="dxa"/>
            <w:gridSpan w:val="11"/>
            <w:tcBorders>
              <w:top w:val="single" w:color="auto" w:sz="8"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2017</w:t>
            </w:r>
            <w:r>
              <w:rPr>
                <w:rFonts w:hint="eastAsia" w:ascii="宋体" w:hAnsi="宋体" w:cs="宋体"/>
                <w:kern w:val="0"/>
                <w:sz w:val="22"/>
                <w:szCs w:val="22"/>
              </w:rPr>
              <w:t>年度预算数</w:t>
            </w:r>
          </w:p>
        </w:tc>
        <w:tc>
          <w:tcPr>
            <w:tcW w:w="4588" w:type="dxa"/>
            <w:gridSpan w:val="11"/>
            <w:tcBorders>
              <w:top w:val="single" w:color="auto" w:sz="8" w:space="0"/>
              <w:left w:val="nil"/>
              <w:bottom w:val="single" w:color="auto" w:sz="4" w:space="0"/>
              <w:right w:val="single" w:color="000000"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2017</w:t>
            </w:r>
            <w:r>
              <w:rPr>
                <w:rFonts w:hint="eastAsia" w:ascii="宋体" w:hAnsi="宋体" w:cs="宋体"/>
                <w:kern w:val="0"/>
                <w:sz w:val="22"/>
                <w:szCs w:val="22"/>
              </w:rPr>
              <w:t>年度决算数</w:t>
            </w:r>
          </w:p>
        </w:tc>
      </w:tr>
      <w:tr>
        <w:tblPrEx>
          <w:tblLayout w:type="fixed"/>
          <w:tblCellMar>
            <w:top w:w="0" w:type="dxa"/>
            <w:left w:w="108" w:type="dxa"/>
            <w:bottom w:w="0" w:type="dxa"/>
            <w:right w:w="108" w:type="dxa"/>
          </w:tblCellMar>
        </w:tblPrEx>
        <w:trPr>
          <w:trHeight w:val="600" w:hRule="atLeast"/>
        </w:trPr>
        <w:tc>
          <w:tcPr>
            <w:tcW w:w="801" w:type="dxa"/>
            <w:gridSpan w:val="2"/>
            <w:vMerge w:val="restart"/>
            <w:tcBorders>
              <w:top w:val="nil"/>
              <w:left w:val="single" w:color="auto" w:sz="8"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877"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14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04"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c>
          <w:tcPr>
            <w:tcW w:w="610" w:type="dxa"/>
            <w:gridSpan w:val="2"/>
            <w:vMerge w:val="restart"/>
            <w:tcBorders>
              <w:top w:val="nil"/>
              <w:left w:val="nil"/>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918"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204"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56" w:type="dxa"/>
            <w:gridSpan w:val="2"/>
            <w:vMerge w:val="restart"/>
            <w:tcBorders>
              <w:top w:val="nil"/>
              <w:left w:val="single" w:color="auto" w:sz="4" w:space="0"/>
              <w:bottom w:val="single" w:color="000000"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r>
      <w:tr>
        <w:tblPrEx>
          <w:tblLayout w:type="fixed"/>
          <w:tblCellMar>
            <w:top w:w="0" w:type="dxa"/>
            <w:left w:w="108" w:type="dxa"/>
            <w:bottom w:w="0" w:type="dxa"/>
            <w:right w:w="108" w:type="dxa"/>
          </w:tblCellMar>
        </w:tblPrEx>
        <w:trPr>
          <w:trHeight w:val="600" w:hRule="atLeast"/>
        </w:trPr>
        <w:tc>
          <w:tcPr>
            <w:tcW w:w="801" w:type="dxa"/>
            <w:gridSpan w:val="2"/>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87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60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0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610" w:type="dxa"/>
            <w:gridSpan w:val="2"/>
            <w:vMerge w:val="continue"/>
            <w:tcBorders>
              <w:top w:val="nil"/>
              <w:left w:val="nil"/>
              <w:bottom w:val="single" w:color="000000" w:sz="4" w:space="0"/>
              <w:right w:val="single" w:color="auto" w:sz="4" w:space="0"/>
            </w:tcBorders>
            <w:vAlign w:val="center"/>
          </w:tcPr>
          <w:p>
            <w:pPr>
              <w:widowControl/>
              <w:jc w:val="left"/>
              <w:rPr>
                <w:rFonts w:ascii="宋体" w:hAnsi="宋体" w:cs="宋体"/>
                <w:kern w:val="0"/>
                <w:sz w:val="22"/>
                <w:szCs w:val="22"/>
              </w:rPr>
            </w:pPr>
          </w:p>
        </w:tc>
        <w:tc>
          <w:tcPr>
            <w:tcW w:w="91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64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56"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559" w:hRule="atLeast"/>
        </w:trPr>
        <w:tc>
          <w:tcPr>
            <w:tcW w:w="801" w:type="dxa"/>
            <w:gridSpan w:val="2"/>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877" w:type="dxa"/>
            <w:gridSpan w:val="3"/>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60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80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61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9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64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856" w:type="dxa"/>
            <w:gridSpan w:val="2"/>
            <w:tcBorders>
              <w:top w:val="nil"/>
              <w:left w:val="nil"/>
              <w:bottom w:val="single" w:color="auto"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r>
      <w:tr>
        <w:tblPrEx>
          <w:tblLayout w:type="fixed"/>
          <w:tblCellMar>
            <w:top w:w="0" w:type="dxa"/>
            <w:left w:w="108" w:type="dxa"/>
            <w:bottom w:w="0" w:type="dxa"/>
            <w:right w:w="108" w:type="dxa"/>
          </w:tblCellMar>
        </w:tblPrEx>
        <w:trPr>
          <w:trHeight w:val="855" w:hRule="atLeast"/>
        </w:trPr>
        <w:tc>
          <w:tcPr>
            <w:tcW w:w="801" w:type="dxa"/>
            <w:gridSpan w:val="2"/>
            <w:tcBorders>
              <w:top w:val="nil"/>
              <w:left w:val="single" w:color="auto" w:sz="8" w:space="0"/>
              <w:bottom w:val="single" w:color="auto" w:sz="8" w:space="0"/>
              <w:right w:val="single" w:color="auto" w:sz="4" w:space="0"/>
            </w:tcBorders>
            <w:vAlign w:val="center"/>
          </w:tcPr>
          <w:p>
            <w:pPr>
              <w:widowControl/>
              <w:jc w:val="left"/>
              <w:rPr>
                <w:rFonts w:hint="eastAsia" w:ascii="宋体" w:hAnsi="宋体" w:eastAsia="宋体" w:cs="宋体"/>
                <w:kern w:val="0"/>
                <w:sz w:val="22"/>
                <w:szCs w:val="22"/>
                <w:lang w:val="en-US" w:eastAsia="zh-CN"/>
              </w:rPr>
            </w:pPr>
            <w:r>
              <w:rPr>
                <w:rFonts w:hint="eastAsia" w:ascii="宋体" w:hAnsi="宋体" w:cs="宋体"/>
                <w:kern w:val="0"/>
                <w:sz w:val="22"/>
                <w:szCs w:val="22"/>
              </w:rPr>
              <w:t>　</w:t>
            </w:r>
            <w:r>
              <w:rPr>
                <w:rFonts w:hint="eastAsia" w:ascii="宋体" w:hAnsi="宋体" w:cs="宋体"/>
                <w:kern w:val="0"/>
                <w:sz w:val="22"/>
                <w:szCs w:val="22"/>
                <w:lang w:val="en-US" w:eastAsia="zh-CN"/>
              </w:rPr>
              <w:t>0.3</w:t>
            </w:r>
          </w:p>
        </w:tc>
        <w:tc>
          <w:tcPr>
            <w:tcW w:w="877" w:type="dxa"/>
            <w:gridSpan w:val="3"/>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05" w:type="dxa"/>
            <w:tcBorders>
              <w:top w:val="nil"/>
              <w:left w:val="nil"/>
              <w:bottom w:val="single" w:color="auto" w:sz="8" w:space="0"/>
              <w:right w:val="single" w:color="auto" w:sz="4" w:space="0"/>
            </w:tcBorders>
            <w:vAlign w:val="center"/>
          </w:tcPr>
          <w:p>
            <w:pPr>
              <w:widowControl/>
              <w:jc w:val="left"/>
              <w:rPr>
                <w:rFonts w:hint="eastAsia" w:ascii="宋体" w:hAnsi="宋体" w:eastAsia="宋体" w:cs="宋体"/>
                <w:kern w:val="0"/>
                <w:sz w:val="22"/>
                <w:szCs w:val="22"/>
                <w:lang w:val="en-US" w:eastAsia="zh-CN"/>
              </w:rPr>
            </w:pPr>
            <w:r>
              <w:rPr>
                <w:rFonts w:hint="eastAsia" w:ascii="宋体" w:hAnsi="宋体" w:cs="宋体"/>
                <w:kern w:val="0"/>
                <w:sz w:val="22"/>
                <w:szCs w:val="22"/>
              </w:rPr>
              <w:t>　</w:t>
            </w:r>
            <w:r>
              <w:rPr>
                <w:rFonts w:hint="eastAsia" w:ascii="宋体" w:hAnsi="宋体" w:cs="宋体"/>
                <w:kern w:val="0"/>
                <w:sz w:val="22"/>
                <w:szCs w:val="22"/>
                <w:lang w:val="en-US" w:eastAsia="zh-CN"/>
              </w:rPr>
              <w:t>0.3</w:t>
            </w:r>
          </w:p>
        </w:tc>
        <w:tc>
          <w:tcPr>
            <w:tcW w:w="709" w:type="dxa"/>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31"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04" w:type="dxa"/>
            <w:gridSpan w:val="2"/>
            <w:tcBorders>
              <w:top w:val="nil"/>
              <w:left w:val="nil"/>
              <w:bottom w:val="single" w:color="auto" w:sz="8" w:space="0"/>
              <w:right w:val="single" w:color="auto" w:sz="4" w:space="0"/>
            </w:tcBorders>
            <w:vAlign w:val="center"/>
          </w:tcPr>
          <w:p>
            <w:pPr>
              <w:widowControl/>
              <w:jc w:val="left"/>
              <w:rPr>
                <w:rFonts w:hint="eastAsia" w:ascii="宋体" w:hAnsi="宋体" w:eastAsia="宋体" w:cs="宋体"/>
                <w:kern w:val="0"/>
                <w:sz w:val="22"/>
                <w:szCs w:val="22"/>
                <w:lang w:val="en-US" w:eastAsia="zh-CN"/>
              </w:rPr>
            </w:pPr>
            <w:r>
              <w:rPr>
                <w:rFonts w:hint="eastAsia" w:ascii="宋体" w:hAnsi="宋体" w:cs="宋体"/>
                <w:kern w:val="0"/>
                <w:sz w:val="22"/>
                <w:szCs w:val="22"/>
              </w:rPr>
              <w:t>　</w:t>
            </w:r>
            <w:r>
              <w:rPr>
                <w:rFonts w:hint="eastAsia" w:ascii="宋体" w:hAnsi="宋体" w:cs="宋体"/>
                <w:kern w:val="0"/>
                <w:sz w:val="22"/>
                <w:szCs w:val="22"/>
                <w:lang w:val="en-US" w:eastAsia="zh-CN"/>
              </w:rPr>
              <w:t>0.3</w:t>
            </w:r>
          </w:p>
        </w:tc>
        <w:tc>
          <w:tcPr>
            <w:tcW w:w="610" w:type="dxa"/>
            <w:gridSpan w:val="2"/>
            <w:tcBorders>
              <w:top w:val="nil"/>
              <w:left w:val="nil"/>
              <w:bottom w:val="single" w:color="auto" w:sz="8" w:space="0"/>
              <w:right w:val="single" w:color="auto" w:sz="4" w:space="0"/>
            </w:tcBorders>
            <w:vAlign w:val="center"/>
          </w:tcPr>
          <w:p>
            <w:pPr>
              <w:widowControl/>
              <w:jc w:val="left"/>
              <w:rPr>
                <w:rFonts w:hint="eastAsia" w:ascii="宋体" w:hAnsi="宋体" w:eastAsia="宋体" w:cs="宋体"/>
                <w:kern w:val="0"/>
                <w:sz w:val="22"/>
                <w:szCs w:val="22"/>
                <w:lang w:val="en-US" w:eastAsia="zh-CN"/>
              </w:rPr>
            </w:pPr>
            <w:r>
              <w:rPr>
                <w:rFonts w:hint="eastAsia" w:ascii="宋体" w:hAnsi="宋体" w:cs="宋体"/>
                <w:kern w:val="0"/>
                <w:sz w:val="22"/>
                <w:szCs w:val="22"/>
              </w:rPr>
              <w:t>　</w:t>
            </w:r>
            <w:r>
              <w:rPr>
                <w:rFonts w:hint="eastAsia" w:ascii="宋体" w:hAnsi="宋体" w:cs="宋体"/>
                <w:kern w:val="0"/>
                <w:sz w:val="22"/>
                <w:szCs w:val="22"/>
                <w:lang w:val="en-US" w:eastAsia="zh-CN"/>
              </w:rPr>
              <w:t>0</w:t>
            </w:r>
          </w:p>
        </w:tc>
        <w:tc>
          <w:tcPr>
            <w:tcW w:w="918"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45" w:type="dxa"/>
            <w:tcBorders>
              <w:top w:val="nil"/>
              <w:left w:val="nil"/>
              <w:bottom w:val="single" w:color="auto" w:sz="8" w:space="0"/>
              <w:right w:val="single" w:color="auto" w:sz="4" w:space="0"/>
            </w:tcBorders>
            <w:vAlign w:val="center"/>
          </w:tcPr>
          <w:p>
            <w:pPr>
              <w:widowControl/>
              <w:jc w:val="left"/>
              <w:rPr>
                <w:rFonts w:hint="eastAsia" w:ascii="宋体" w:hAnsi="宋体" w:eastAsia="宋体" w:cs="宋体"/>
                <w:kern w:val="0"/>
                <w:sz w:val="22"/>
                <w:szCs w:val="22"/>
                <w:lang w:val="en-US" w:eastAsia="zh-CN"/>
              </w:rPr>
            </w:pPr>
            <w:r>
              <w:rPr>
                <w:rFonts w:hint="eastAsia" w:ascii="宋体" w:hAnsi="宋体" w:cs="宋体"/>
                <w:kern w:val="0"/>
                <w:sz w:val="22"/>
                <w:szCs w:val="22"/>
              </w:rPr>
              <w:t>　</w:t>
            </w:r>
            <w:r>
              <w:rPr>
                <w:rFonts w:hint="eastAsia" w:ascii="宋体" w:hAnsi="宋体" w:cs="宋体"/>
                <w:kern w:val="0"/>
                <w:sz w:val="22"/>
                <w:szCs w:val="22"/>
                <w:lang w:val="en-US" w:eastAsia="zh-CN"/>
              </w:rPr>
              <w:t>0</w:t>
            </w:r>
          </w:p>
        </w:tc>
        <w:tc>
          <w:tcPr>
            <w:tcW w:w="818" w:type="dxa"/>
            <w:gridSpan w:val="2"/>
            <w:tcBorders>
              <w:top w:val="nil"/>
              <w:left w:val="nil"/>
              <w:bottom w:val="single" w:color="auto" w:sz="8"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41" w:type="dxa"/>
            <w:gridSpan w:val="2"/>
            <w:tcBorders>
              <w:top w:val="nil"/>
              <w:left w:val="nil"/>
              <w:bottom w:val="single" w:color="auto" w:sz="8" w:space="0"/>
              <w:right w:val="nil"/>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856" w:type="dxa"/>
            <w:gridSpan w:val="2"/>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注：本表反映部门本年度财政拨款“三公”经费支出情况。有关填表说明：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（1）本表数据填列数据以“万元”为金额单位，保留两位小数。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xx年预算数为“三公”年初预算数，决算数包括当年财政拨款预算和以前年度结转资金安排的实际支出。</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（3）1栏=（2+3+6）栏，3栏=（4+5）栏。7栏=（8+9+12）栏。9栏=（10+11）栏。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（4）“三公”数据合计为零的，在合计栏填列“0”，并在决算情况说明中予以说明。</w:t>
      </w: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p>
    <w:tbl>
      <w:tblPr>
        <w:tblStyle w:val="3"/>
        <w:tblW w:w="8788" w:type="dxa"/>
        <w:tblInd w:w="93" w:type="dxa"/>
        <w:tblLayout w:type="fixed"/>
        <w:tblCellMar>
          <w:top w:w="0" w:type="dxa"/>
          <w:left w:w="108" w:type="dxa"/>
          <w:bottom w:w="0" w:type="dxa"/>
          <w:right w:w="108" w:type="dxa"/>
        </w:tblCellMar>
      </w:tblPr>
      <w:tblGrid>
        <w:gridCol w:w="683"/>
        <w:gridCol w:w="373"/>
        <w:gridCol w:w="1794"/>
        <w:gridCol w:w="993"/>
        <w:gridCol w:w="1044"/>
        <w:gridCol w:w="967"/>
        <w:gridCol w:w="832"/>
        <w:gridCol w:w="968"/>
        <w:gridCol w:w="1134"/>
      </w:tblGrid>
      <w:tr>
        <w:tblPrEx>
          <w:tblLayout w:type="fixed"/>
          <w:tblCellMar>
            <w:top w:w="0" w:type="dxa"/>
            <w:left w:w="108" w:type="dxa"/>
            <w:bottom w:w="0" w:type="dxa"/>
            <w:right w:w="108" w:type="dxa"/>
          </w:tblCellMar>
        </w:tblPrEx>
        <w:trPr>
          <w:trHeight w:val="600" w:hRule="atLeast"/>
        </w:trPr>
        <w:tc>
          <w:tcPr>
            <w:tcW w:w="8788" w:type="dxa"/>
            <w:gridSpan w:val="9"/>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222" w:hRule="atLeast"/>
        </w:trPr>
        <w:tc>
          <w:tcPr>
            <w:tcW w:w="68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公开08表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color w:val="000000"/>
                <w:kern w:val="0"/>
                <w:sz w:val="20"/>
                <w:szCs w:val="20"/>
                <w:lang w:eastAsia="zh-CN"/>
              </w:rPr>
              <w:t>汕头市濠江区华桥小学</w:t>
            </w:r>
            <w:r>
              <w:rPr>
                <w:rFonts w:hint="eastAsia" w:ascii="宋体" w:hAnsi="宋体" w:cs="宋体"/>
                <w:kern w:val="0"/>
                <w:sz w:val="20"/>
                <w:szCs w:val="20"/>
              </w:rPr>
              <w:t>　</w:t>
            </w:r>
          </w:p>
        </w:tc>
        <w:tc>
          <w:tcPr>
            <w:tcW w:w="993"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850"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993"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年初结转和结余</w:t>
            </w:r>
          </w:p>
        </w:tc>
        <w:tc>
          <w:tcPr>
            <w:tcW w:w="104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本年收入</w:t>
            </w:r>
          </w:p>
        </w:tc>
        <w:tc>
          <w:tcPr>
            <w:tcW w:w="2767" w:type="dxa"/>
            <w:gridSpan w:val="3"/>
            <w:tcBorders>
              <w:top w:val="single" w:color="auto" w:sz="8" w:space="0"/>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w:t>
            </w:r>
          </w:p>
        </w:tc>
        <w:tc>
          <w:tcPr>
            <w:tcW w:w="11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trPr>
        <w:tc>
          <w:tcPr>
            <w:tcW w:w="1056"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79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小计</w:t>
            </w:r>
          </w:p>
        </w:tc>
        <w:tc>
          <w:tcPr>
            <w:tcW w:w="832"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968"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36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850"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2850" w:type="dxa"/>
            <w:gridSpan w:val="3"/>
            <w:tcBorders>
              <w:top w:val="nil"/>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rPr>
              <w:t>　</w:t>
            </w:r>
            <w:r>
              <w:rPr>
                <w:rFonts w:hint="eastAsia" w:ascii="宋体" w:hAnsi="宋体" w:cs="宋体"/>
                <w:kern w:val="0"/>
                <w:sz w:val="24"/>
                <w:lang w:val="en-US" w:eastAsia="zh-CN"/>
              </w:rPr>
              <w:t>0</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0</w:t>
            </w: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城乡社区支出　</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21209</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城市公用事业附加及对应专项债务收入安排的支出</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2120901</w:t>
            </w: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城市公共设施</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w:t>
            </w:r>
          </w:p>
        </w:tc>
        <w:tc>
          <w:tcPr>
            <w:tcW w:w="179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vAlign w:val="center"/>
          </w:tcPr>
          <w:p>
            <w:pPr>
              <w:widowControl/>
              <w:rPr>
                <w:rFonts w:ascii="宋体" w:hAnsi="宋体" w:cs="宋体"/>
                <w:kern w:val="0"/>
                <w:sz w:val="24"/>
              </w:rPr>
            </w:pPr>
          </w:p>
        </w:tc>
        <w:tc>
          <w:tcPr>
            <w:tcW w:w="179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p>
        </w:tc>
        <w:tc>
          <w:tcPr>
            <w:tcW w:w="993"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8"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注：本表反映部门本年度政府性基金预算财政拨款收支情况。有关填表说明：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（3）（1+2-3）栏=6栏，3栏=（4+5）栏。</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spacing w:line="360" w:lineRule="auto"/>
        <w:ind w:firstLine="523" w:firstLineChars="187"/>
        <w:rPr>
          <w:rFonts w:ascii="仿宋_GB2312" w:eastAsia="仿宋_GB2312"/>
          <w:sz w:val="28"/>
          <w:szCs w:val="28"/>
        </w:rPr>
      </w:pPr>
      <w:r>
        <w:rPr>
          <w:rFonts w:hint="eastAsia" w:ascii="仿宋_GB2312" w:eastAsia="仿宋_GB2312"/>
          <w:sz w:val="28"/>
          <w:szCs w:val="28"/>
        </w:rPr>
        <w:t>（5）该表数据来源于部门决算报表中的《政府性基金预算财政拨款收入支出决算表》（财决09表）和《项目收入支出决算表》（财决06表）。</w:t>
      </w:r>
    </w:p>
    <w:p>
      <w:pPr>
        <w:spacing w:line="288" w:lineRule="auto"/>
        <w:ind w:firstLine="643" w:firstLineChars="200"/>
        <w:rPr>
          <w:rFonts w:ascii="仿宋_GB2312" w:eastAsia="仿宋_GB2312"/>
          <w:b/>
          <w:sz w:val="32"/>
          <w:szCs w:val="32"/>
        </w:rPr>
      </w:pPr>
    </w:p>
    <w:p>
      <w:pPr>
        <w:spacing w:line="288" w:lineRule="auto"/>
        <w:ind w:firstLine="723" w:firstLineChars="200"/>
        <w:outlineLvl w:val="0"/>
        <w:rPr>
          <w:rFonts w:ascii="宋体" w:hAnsi="宋体"/>
          <w:b/>
          <w:sz w:val="36"/>
          <w:szCs w:val="36"/>
        </w:rPr>
      </w:pPr>
      <w:r>
        <w:rPr>
          <w:rFonts w:hint="eastAsia" w:ascii="宋体" w:hAnsi="宋体"/>
          <w:b/>
          <w:sz w:val="36"/>
          <w:szCs w:val="36"/>
          <w:lang w:val="en-US" w:eastAsia="zh-CN"/>
        </w:rPr>
        <w:t>华桥小学2017</w:t>
      </w:r>
      <w:r>
        <w:rPr>
          <w:rFonts w:hint="eastAsia" w:ascii="宋体" w:hAnsi="宋体"/>
          <w:b/>
          <w:sz w:val="36"/>
          <w:szCs w:val="36"/>
        </w:rPr>
        <w:t>年部门决算情况说明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2017</w:t>
      </w:r>
      <w:r>
        <w:rPr>
          <w:rFonts w:hint="eastAsia" w:ascii="仿宋_GB2312" w:eastAsia="仿宋_GB2312"/>
          <w:b/>
          <w:sz w:val="32"/>
          <w:szCs w:val="32"/>
        </w:rPr>
        <w:t>年度收入支出决算总体情况说明</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支出决算总规模、各类支出决算规模及各类支出增减变化情况。格式如下：</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（一）年度收入总体情况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val="en-US" w:eastAsia="zh-CN"/>
        </w:rPr>
        <w:t>本单位2017</w:t>
      </w:r>
      <w:r>
        <w:rPr>
          <w:rFonts w:hint="eastAsia" w:ascii="仿宋_GB2312" w:eastAsia="仿宋_GB2312"/>
          <w:sz w:val="32"/>
          <w:szCs w:val="32"/>
        </w:rPr>
        <w:t>年度总收入</w:t>
      </w:r>
      <w:r>
        <w:rPr>
          <w:rFonts w:hint="eastAsia" w:ascii="仿宋" w:hAnsi="仿宋" w:eastAsia="仿宋"/>
          <w:sz w:val="32"/>
          <w:szCs w:val="32"/>
          <w:lang w:val="en-US" w:eastAsia="zh-CN"/>
        </w:rPr>
        <w:t>252.19</w:t>
      </w:r>
      <w:r>
        <w:rPr>
          <w:rFonts w:hint="eastAsia" w:ascii="仿宋_GB2312" w:eastAsia="仿宋_GB2312"/>
          <w:sz w:val="32"/>
          <w:szCs w:val="32"/>
        </w:rPr>
        <w:t xml:space="preserve">万元，其中本年收入  </w:t>
      </w:r>
      <w:r>
        <w:rPr>
          <w:rFonts w:hint="eastAsia" w:ascii="仿宋_GB2312" w:eastAsia="仿宋_GB2312"/>
          <w:sz w:val="32"/>
          <w:szCs w:val="32"/>
          <w:lang w:val="en-US" w:eastAsia="zh-CN"/>
        </w:rPr>
        <w:t>222.87</w:t>
      </w:r>
      <w:r>
        <w:rPr>
          <w:rFonts w:hint="eastAsia" w:ascii="仿宋_GB2312" w:eastAsia="仿宋_GB2312"/>
          <w:sz w:val="32"/>
          <w:szCs w:val="32"/>
        </w:rPr>
        <w:t>万元。具体情况如下：</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1．财政拨款收入</w:t>
      </w:r>
      <w:r>
        <w:rPr>
          <w:rFonts w:hint="eastAsia" w:ascii="仿宋_GB2312" w:eastAsia="仿宋_GB2312"/>
          <w:sz w:val="32"/>
          <w:szCs w:val="32"/>
          <w:lang w:val="en-US" w:eastAsia="zh-CN"/>
        </w:rPr>
        <w:t>218.29</w:t>
      </w:r>
      <w:r>
        <w:rPr>
          <w:rFonts w:hint="eastAsia" w:ascii="仿宋_GB2312" w:eastAsia="仿宋_GB2312"/>
          <w:sz w:val="32"/>
          <w:szCs w:val="32"/>
        </w:rPr>
        <w:t>万元，比上年决算数增加</w:t>
      </w:r>
      <w:r>
        <w:rPr>
          <w:rFonts w:hint="eastAsia" w:ascii="仿宋_GB2312" w:eastAsia="仿宋_GB2312"/>
          <w:sz w:val="32"/>
          <w:szCs w:val="32"/>
          <w:lang w:val="en-US" w:eastAsia="zh-CN"/>
        </w:rPr>
        <w:t>12.78</w:t>
      </w:r>
      <w:r>
        <w:rPr>
          <w:rFonts w:hint="eastAsia" w:ascii="仿宋_GB2312" w:eastAsia="仿宋_GB2312"/>
          <w:sz w:val="32"/>
          <w:szCs w:val="32"/>
        </w:rPr>
        <w:t>万元，增长</w:t>
      </w:r>
      <w:r>
        <w:rPr>
          <w:rFonts w:hint="eastAsia" w:ascii="仿宋_GB2312" w:eastAsia="仿宋_GB2312"/>
          <w:sz w:val="32"/>
          <w:szCs w:val="32"/>
          <w:lang w:val="en-US" w:eastAsia="zh-CN"/>
        </w:rPr>
        <w:t>6</w:t>
      </w:r>
      <w:r>
        <w:rPr>
          <w:rFonts w:hint="eastAsia" w:ascii="仿宋_GB2312" w:eastAsia="仿宋_GB2312"/>
          <w:sz w:val="32"/>
          <w:szCs w:val="32"/>
        </w:rPr>
        <w:t xml:space="preserve"> %。主要原因：一</w:t>
      </w:r>
      <w:r>
        <w:rPr>
          <w:rFonts w:hint="eastAsia" w:ascii="仿宋_GB2312" w:eastAsia="仿宋_GB2312"/>
          <w:sz w:val="32"/>
          <w:szCs w:val="32"/>
          <w:lang w:val="en-US" w:eastAsia="zh-CN"/>
        </w:rPr>
        <w:t>是人员工资提高</w:t>
      </w:r>
      <w:r>
        <w:rPr>
          <w:rFonts w:hint="eastAsia" w:ascii="仿宋_GB2312" w:eastAsia="仿宋_GB2312"/>
          <w:sz w:val="32"/>
          <w:szCs w:val="32"/>
        </w:rPr>
        <w:t>，二是</w:t>
      </w:r>
      <w:r>
        <w:rPr>
          <w:rFonts w:hint="eastAsia" w:ascii="仿宋_GB2312" w:eastAsia="仿宋_GB2312"/>
          <w:sz w:val="32"/>
          <w:szCs w:val="32"/>
          <w:lang w:val="en-US" w:eastAsia="zh-CN"/>
        </w:rPr>
        <w:t>增加专项维修资金。</w:t>
      </w:r>
    </w:p>
    <w:p>
      <w:pPr>
        <w:spacing w:line="288" w:lineRule="auto"/>
        <w:ind w:left="160" w:leftChars="76" w:firstLine="480" w:firstLineChars="150"/>
        <w:rPr>
          <w:rFonts w:ascii="仿宋_GB2312" w:eastAsia="仿宋_GB2312"/>
          <w:sz w:val="32"/>
          <w:szCs w:val="32"/>
        </w:rPr>
      </w:pPr>
      <w:r>
        <w:rPr>
          <w:rFonts w:hint="eastAsia" w:ascii="仿宋_GB2312" w:eastAsia="仿宋_GB2312"/>
          <w:sz w:val="32"/>
          <w:szCs w:val="32"/>
        </w:rPr>
        <w:t>2．上级补助收入</w:t>
      </w:r>
      <w:r>
        <w:rPr>
          <w:rFonts w:hint="eastAsia" w:ascii="仿宋_GB2312" w:eastAsia="仿宋_GB2312"/>
          <w:sz w:val="32"/>
          <w:szCs w:val="32"/>
          <w:lang w:val="en-US" w:eastAsia="zh-CN"/>
        </w:rPr>
        <w:t>3.16</w:t>
      </w:r>
      <w:r>
        <w:rPr>
          <w:rFonts w:hint="eastAsia" w:ascii="仿宋_GB2312" w:eastAsia="仿宋_GB2312"/>
          <w:sz w:val="32"/>
          <w:szCs w:val="32"/>
        </w:rPr>
        <w:t>万元，比上年决算数增加</w:t>
      </w:r>
      <w:r>
        <w:rPr>
          <w:rFonts w:hint="eastAsia" w:ascii="仿宋_GB2312" w:eastAsia="仿宋_GB2312"/>
          <w:sz w:val="32"/>
          <w:szCs w:val="32"/>
          <w:lang w:val="en-US" w:eastAsia="zh-CN"/>
        </w:rPr>
        <w:t>3.16</w:t>
      </w:r>
      <w:r>
        <w:rPr>
          <w:rFonts w:hint="eastAsia" w:ascii="仿宋_GB2312" w:eastAsia="仿宋_GB2312"/>
          <w:sz w:val="32"/>
          <w:szCs w:val="32"/>
        </w:rPr>
        <w:t>万元，增长</w:t>
      </w:r>
      <w:r>
        <w:rPr>
          <w:rFonts w:hint="eastAsia" w:ascii="仿宋_GB2312" w:eastAsia="仿宋_GB2312"/>
          <w:sz w:val="32"/>
          <w:szCs w:val="32"/>
          <w:lang w:val="en-US" w:eastAsia="zh-CN"/>
        </w:rPr>
        <w:t>100</w:t>
      </w:r>
      <w:r>
        <w:rPr>
          <w:rFonts w:hint="eastAsia" w:ascii="仿宋_GB2312" w:eastAsia="仿宋_GB2312"/>
          <w:sz w:val="32"/>
          <w:szCs w:val="32"/>
        </w:rPr>
        <w:t xml:space="preserve"> %。主要原因：</w:t>
      </w:r>
      <w:r>
        <w:rPr>
          <w:rFonts w:hint="eastAsia" w:ascii="仿宋_GB2312" w:eastAsia="仿宋_GB2312"/>
          <w:sz w:val="32"/>
          <w:szCs w:val="32"/>
          <w:lang w:val="en-US" w:eastAsia="zh-CN"/>
        </w:rPr>
        <w:t>社区在2016年没有下拨资金。</w:t>
      </w:r>
    </w:p>
    <w:p>
      <w:pPr>
        <w:spacing w:line="288"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3．事业收入</w:t>
      </w:r>
      <w:r>
        <w:rPr>
          <w:rFonts w:hint="eastAsia" w:ascii="仿宋_GB2312" w:eastAsia="仿宋_GB2312"/>
          <w:sz w:val="32"/>
          <w:szCs w:val="32"/>
          <w:lang w:val="en-US" w:eastAsia="zh-CN"/>
        </w:rPr>
        <w:t>1.06</w:t>
      </w:r>
      <w:r>
        <w:rPr>
          <w:rFonts w:hint="eastAsia" w:ascii="仿宋_GB2312" w:eastAsia="仿宋_GB2312"/>
          <w:sz w:val="32"/>
          <w:szCs w:val="32"/>
        </w:rPr>
        <w:t>万元，比上年决算数减少</w:t>
      </w:r>
      <w:r>
        <w:rPr>
          <w:rFonts w:hint="eastAsia" w:ascii="仿宋_GB2312" w:eastAsia="仿宋_GB2312"/>
          <w:sz w:val="32"/>
          <w:szCs w:val="32"/>
          <w:lang w:val="en-US" w:eastAsia="zh-CN"/>
        </w:rPr>
        <w:t>0.8</w:t>
      </w:r>
      <w:r>
        <w:rPr>
          <w:rFonts w:hint="eastAsia" w:ascii="仿宋_GB2312" w:eastAsia="仿宋_GB2312"/>
          <w:sz w:val="32"/>
          <w:szCs w:val="32"/>
        </w:rPr>
        <w:t>万元，下降</w:t>
      </w:r>
      <w:r>
        <w:rPr>
          <w:rFonts w:hint="eastAsia" w:ascii="仿宋_GB2312" w:eastAsia="仿宋_GB2312"/>
          <w:sz w:val="32"/>
          <w:szCs w:val="32"/>
          <w:lang w:val="en-US" w:eastAsia="zh-CN"/>
        </w:rPr>
        <w:t>43</w:t>
      </w:r>
      <w:r>
        <w:rPr>
          <w:rFonts w:hint="eastAsia" w:ascii="仿宋_GB2312" w:eastAsia="仿宋_GB2312"/>
          <w:sz w:val="32"/>
          <w:szCs w:val="32"/>
        </w:rPr>
        <w:t xml:space="preserve"> %。主要原因：</w:t>
      </w:r>
      <w:bookmarkStart w:id="0" w:name="_GoBack"/>
      <w:bookmarkEnd w:id="0"/>
      <w:r>
        <w:rPr>
          <w:rFonts w:hint="eastAsia" w:ascii="仿宋_GB2312" w:eastAsia="仿宋_GB2312"/>
          <w:sz w:val="32"/>
          <w:szCs w:val="32"/>
        </w:rPr>
        <w:t>是</w:t>
      </w:r>
      <w:r>
        <w:rPr>
          <w:rFonts w:hint="eastAsia" w:ascii="仿宋_GB2312" w:eastAsia="仿宋_GB2312"/>
          <w:sz w:val="32"/>
          <w:szCs w:val="32"/>
          <w:lang w:val="en-US" w:eastAsia="zh-CN"/>
        </w:rPr>
        <w:t>学前班人数减少。</w:t>
      </w:r>
    </w:p>
    <w:p>
      <w:pPr>
        <w:spacing w:line="288"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4．经营收入</w:t>
      </w:r>
      <w:r>
        <w:rPr>
          <w:rFonts w:hint="eastAsia" w:ascii="仿宋_GB2312" w:eastAsia="仿宋_GB2312"/>
          <w:sz w:val="32"/>
          <w:szCs w:val="32"/>
          <w:lang w:val="en-US" w:eastAsia="zh-CN"/>
        </w:rPr>
        <w:t>0</w:t>
      </w:r>
      <w:r>
        <w:rPr>
          <w:rFonts w:hint="eastAsia" w:ascii="仿宋_GB2312" w:eastAsia="仿宋_GB2312"/>
          <w:sz w:val="32"/>
          <w:szCs w:val="32"/>
        </w:rPr>
        <w:t xml:space="preserve"> 万元，比上年决算数增加（减少） </w:t>
      </w:r>
      <w:r>
        <w:rPr>
          <w:rFonts w:hint="eastAsia" w:ascii="仿宋_GB2312" w:eastAsia="仿宋_GB2312"/>
          <w:sz w:val="32"/>
          <w:szCs w:val="32"/>
          <w:lang w:val="en-US" w:eastAsia="zh-CN"/>
        </w:rPr>
        <w:t>0</w:t>
      </w:r>
      <w:r>
        <w:rPr>
          <w:rFonts w:hint="eastAsia" w:ascii="仿宋_GB2312" w:eastAsia="仿宋_GB2312"/>
          <w:sz w:val="32"/>
          <w:szCs w:val="32"/>
        </w:rPr>
        <w:t>万元，增长（下降）</w:t>
      </w:r>
      <w:r>
        <w:rPr>
          <w:rFonts w:hint="eastAsia" w:ascii="仿宋_GB2312" w:eastAsia="仿宋_GB2312"/>
          <w:sz w:val="32"/>
          <w:szCs w:val="32"/>
          <w:lang w:val="en-US" w:eastAsia="zh-CN"/>
        </w:rPr>
        <w:t>0</w:t>
      </w:r>
      <w:r>
        <w:rPr>
          <w:rFonts w:hint="eastAsia" w:ascii="仿宋_GB2312" w:eastAsia="仿宋_GB2312"/>
          <w:sz w:val="32"/>
          <w:szCs w:val="32"/>
        </w:rPr>
        <w:t xml:space="preserve"> %。主要原因：</w:t>
      </w:r>
      <w:r>
        <w:rPr>
          <w:rFonts w:hint="eastAsia" w:ascii="仿宋_GB2312" w:eastAsia="仿宋_GB2312"/>
          <w:sz w:val="32"/>
          <w:szCs w:val="32"/>
          <w:lang w:val="en-US" w:eastAsia="zh-CN"/>
        </w:rPr>
        <w:t>没有此项收入。</w:t>
      </w:r>
    </w:p>
    <w:p>
      <w:pPr>
        <w:spacing w:line="288"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5．其他收入</w:t>
      </w:r>
      <w:r>
        <w:rPr>
          <w:rFonts w:hint="eastAsia" w:ascii="仿宋_GB2312" w:eastAsia="仿宋_GB2312"/>
          <w:sz w:val="32"/>
          <w:szCs w:val="32"/>
          <w:lang w:val="en-US" w:eastAsia="zh-CN"/>
        </w:rPr>
        <w:t>0.36</w:t>
      </w:r>
      <w:r>
        <w:rPr>
          <w:rFonts w:hint="eastAsia" w:ascii="仿宋_GB2312" w:eastAsia="仿宋_GB2312"/>
          <w:sz w:val="32"/>
          <w:szCs w:val="32"/>
        </w:rPr>
        <w:t xml:space="preserve">万元，比上年决算数增加 </w:t>
      </w:r>
      <w:r>
        <w:rPr>
          <w:rFonts w:hint="eastAsia" w:ascii="仿宋_GB2312" w:eastAsia="仿宋_GB2312"/>
          <w:sz w:val="32"/>
          <w:szCs w:val="32"/>
          <w:lang w:val="en-US" w:eastAsia="zh-CN"/>
        </w:rPr>
        <w:t>0.02</w:t>
      </w:r>
      <w:r>
        <w:rPr>
          <w:rFonts w:hint="eastAsia" w:ascii="仿宋_GB2312" w:eastAsia="仿宋_GB2312"/>
          <w:sz w:val="32"/>
          <w:szCs w:val="32"/>
        </w:rPr>
        <w:t>万元，增长</w:t>
      </w:r>
      <w:r>
        <w:rPr>
          <w:rFonts w:hint="eastAsia" w:ascii="仿宋_GB2312" w:eastAsia="仿宋_GB2312"/>
          <w:sz w:val="32"/>
          <w:szCs w:val="32"/>
          <w:lang w:val="en-US" w:eastAsia="zh-CN"/>
        </w:rPr>
        <w:t>6</w:t>
      </w:r>
      <w:r>
        <w:rPr>
          <w:rFonts w:hint="eastAsia" w:ascii="仿宋_GB2312" w:eastAsia="仿宋_GB2312"/>
          <w:sz w:val="32"/>
          <w:szCs w:val="32"/>
        </w:rPr>
        <w:t xml:space="preserve"> %。主要原因：一是</w:t>
      </w:r>
      <w:r>
        <w:rPr>
          <w:rFonts w:hint="eastAsia" w:ascii="仿宋_GB2312" w:eastAsia="仿宋_GB2312"/>
          <w:sz w:val="32"/>
          <w:szCs w:val="32"/>
          <w:lang w:val="en-US" w:eastAsia="zh-CN"/>
        </w:rPr>
        <w:t>银行利息增加。</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（二）年度支出总体情况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val="en-US" w:eastAsia="zh-CN"/>
        </w:rPr>
        <w:t>华桥小学2017</w:t>
      </w:r>
      <w:r>
        <w:rPr>
          <w:rFonts w:hint="eastAsia" w:ascii="仿宋_GB2312" w:eastAsia="仿宋_GB2312"/>
          <w:sz w:val="32"/>
          <w:szCs w:val="32"/>
        </w:rPr>
        <w:t>年度总支出</w:t>
      </w:r>
      <w:r>
        <w:rPr>
          <w:rFonts w:hint="eastAsia" w:ascii="仿宋" w:hAnsi="仿宋" w:eastAsia="仿宋"/>
          <w:sz w:val="32"/>
          <w:szCs w:val="32"/>
          <w:lang w:val="en-US" w:eastAsia="zh-CN"/>
        </w:rPr>
        <w:t>228.35</w:t>
      </w:r>
      <w:r>
        <w:rPr>
          <w:rFonts w:hint="eastAsia" w:ascii="仿宋_GB2312" w:eastAsia="仿宋_GB2312"/>
          <w:sz w:val="32"/>
          <w:szCs w:val="32"/>
        </w:rPr>
        <w:t>万元，其中本年支出</w:t>
      </w:r>
      <w:r>
        <w:rPr>
          <w:rFonts w:hint="eastAsia" w:ascii="仿宋_GB2312" w:eastAsia="仿宋_GB2312"/>
          <w:sz w:val="32"/>
          <w:szCs w:val="32"/>
          <w:lang w:val="en-US" w:eastAsia="zh-CN"/>
        </w:rPr>
        <w:t>228.35</w:t>
      </w:r>
      <w:r>
        <w:rPr>
          <w:rFonts w:hint="eastAsia" w:ascii="仿宋_GB2312" w:eastAsia="仿宋_GB2312"/>
          <w:sz w:val="32"/>
          <w:szCs w:val="32"/>
        </w:rPr>
        <w:t>万元。具体情况如下：</w:t>
      </w:r>
    </w:p>
    <w:p>
      <w:pPr>
        <w:numPr>
          <w:ilvl w:val="0"/>
          <w:numId w:val="1"/>
        </w:numPr>
        <w:spacing w:line="640" w:lineRule="exact"/>
        <w:ind w:firstLine="645"/>
        <w:rPr>
          <w:rFonts w:hint="eastAsia" w:ascii="仿宋_GB2312" w:eastAsia="仿宋_GB2312"/>
          <w:sz w:val="32"/>
          <w:szCs w:val="32"/>
        </w:rPr>
      </w:pPr>
      <w:r>
        <w:rPr>
          <w:rFonts w:hint="eastAsia" w:ascii="仿宋_GB2312" w:eastAsia="仿宋_GB2312"/>
          <w:sz w:val="32"/>
          <w:szCs w:val="32"/>
        </w:rPr>
        <w:t>一般公共服务（类）支出</w:t>
      </w:r>
      <w:r>
        <w:rPr>
          <w:rFonts w:hint="eastAsia" w:ascii="仿宋_GB2312" w:eastAsia="仿宋_GB2312"/>
          <w:sz w:val="32"/>
          <w:szCs w:val="32"/>
          <w:lang w:val="en-US" w:eastAsia="zh-CN"/>
        </w:rPr>
        <w:t xml:space="preserve"> 143.12</w:t>
      </w:r>
      <w:r>
        <w:rPr>
          <w:rFonts w:hint="eastAsia" w:ascii="仿宋_GB2312" w:eastAsia="仿宋_GB2312"/>
          <w:sz w:val="32"/>
          <w:szCs w:val="32"/>
        </w:rPr>
        <w:t>万元，主要用于</w:t>
      </w:r>
      <w:r>
        <w:rPr>
          <w:rFonts w:hint="eastAsia" w:ascii="仿宋_GB2312" w:eastAsia="仿宋_GB2312"/>
          <w:sz w:val="32"/>
          <w:szCs w:val="32"/>
          <w:lang w:val="en-US" w:eastAsia="zh-CN"/>
        </w:rPr>
        <w:t>工资福利支出、对个人和家庭的补助</w:t>
      </w:r>
      <w:r>
        <w:rPr>
          <w:rFonts w:hint="eastAsia" w:ascii="仿宋_GB2312" w:eastAsia="仿宋_GB2312"/>
          <w:sz w:val="32"/>
          <w:szCs w:val="32"/>
        </w:rPr>
        <w:t>，比上年决算数增加</w:t>
      </w:r>
      <w:r>
        <w:rPr>
          <w:rFonts w:hint="eastAsia" w:ascii="仿宋_GB2312" w:eastAsia="仿宋_GB2312"/>
          <w:sz w:val="32"/>
          <w:szCs w:val="32"/>
          <w:lang w:val="en-US" w:eastAsia="zh-CN"/>
        </w:rPr>
        <w:t>17.72</w:t>
      </w:r>
      <w:r>
        <w:rPr>
          <w:rFonts w:hint="eastAsia" w:ascii="仿宋_GB2312" w:eastAsia="仿宋_GB2312"/>
          <w:sz w:val="32"/>
          <w:szCs w:val="32"/>
        </w:rPr>
        <w:t xml:space="preserve"> 万元，增长</w:t>
      </w:r>
      <w:r>
        <w:rPr>
          <w:rFonts w:hint="eastAsia" w:ascii="仿宋_GB2312" w:eastAsia="仿宋_GB2312"/>
          <w:sz w:val="32"/>
          <w:szCs w:val="32"/>
          <w:lang w:val="en-US" w:eastAsia="zh-CN"/>
        </w:rPr>
        <w:t>14</w:t>
      </w:r>
      <w:r>
        <w:rPr>
          <w:rFonts w:hint="eastAsia" w:ascii="仿宋_GB2312" w:eastAsia="仿宋_GB2312"/>
          <w:sz w:val="32"/>
          <w:szCs w:val="32"/>
        </w:rPr>
        <w:t>%，主要原因是</w:t>
      </w:r>
      <w:r>
        <w:rPr>
          <w:rFonts w:hint="eastAsia" w:ascii="仿宋_GB2312" w:eastAsia="仿宋_GB2312"/>
          <w:sz w:val="32"/>
          <w:szCs w:val="32"/>
          <w:lang w:val="en-US" w:eastAsia="zh-CN"/>
        </w:rPr>
        <w:t>人员工资及奖金增加</w:t>
      </w:r>
      <w:r>
        <w:rPr>
          <w:rFonts w:hint="eastAsia" w:ascii="仿宋_GB2312" w:eastAsia="仿宋_GB2312"/>
          <w:sz w:val="32"/>
          <w:szCs w:val="32"/>
        </w:rPr>
        <w:t>。</w:t>
      </w:r>
    </w:p>
    <w:p>
      <w:pPr>
        <w:numPr>
          <w:ilvl w:val="0"/>
          <w:numId w:val="0"/>
        </w:numPr>
        <w:spacing w:line="640" w:lineRule="exact"/>
        <w:ind w:firstLine="320" w:firstLineChars="100"/>
        <w:rPr>
          <w:rFonts w:ascii="仿宋_GB2312" w:eastAsia="仿宋_GB2312"/>
          <w:sz w:val="32"/>
          <w:szCs w:val="32"/>
        </w:rPr>
      </w:pPr>
      <w:r>
        <w:rPr>
          <w:rFonts w:hint="eastAsia" w:ascii="仿宋_GB2312" w:eastAsia="仿宋_GB2312"/>
          <w:sz w:val="32"/>
          <w:szCs w:val="32"/>
        </w:rPr>
        <w:t xml:space="preserve">2.教育（类）支出 </w:t>
      </w:r>
      <w:r>
        <w:rPr>
          <w:rFonts w:hint="eastAsia" w:ascii="仿宋_GB2312" w:eastAsia="仿宋_GB2312"/>
          <w:sz w:val="32"/>
          <w:szCs w:val="32"/>
          <w:lang w:val="en-US" w:eastAsia="zh-CN"/>
        </w:rPr>
        <w:t>21.31</w:t>
      </w:r>
      <w:r>
        <w:rPr>
          <w:rFonts w:hint="eastAsia" w:ascii="仿宋_GB2312" w:eastAsia="仿宋_GB2312"/>
          <w:sz w:val="32"/>
          <w:szCs w:val="32"/>
        </w:rPr>
        <w:t>万元，主要支出项目有</w:t>
      </w:r>
      <w:r>
        <w:rPr>
          <w:rFonts w:hint="eastAsia" w:ascii="仿宋_GB2312" w:eastAsia="仿宋_GB2312"/>
          <w:sz w:val="32"/>
          <w:szCs w:val="32"/>
          <w:lang w:val="en-US" w:eastAsia="zh-CN"/>
        </w:rPr>
        <w:t>商品服务支出和其他资本性支出</w:t>
      </w:r>
      <w:r>
        <w:rPr>
          <w:rFonts w:hint="eastAsia" w:ascii="仿宋_GB2312" w:eastAsia="仿宋_GB2312"/>
          <w:sz w:val="32"/>
          <w:szCs w:val="32"/>
        </w:rPr>
        <w:t>，比上年决算数减少</w:t>
      </w:r>
      <w:r>
        <w:rPr>
          <w:rFonts w:hint="eastAsia" w:ascii="仿宋_GB2312" w:eastAsia="仿宋_GB2312"/>
          <w:sz w:val="32"/>
          <w:szCs w:val="32"/>
          <w:lang w:val="en-US" w:eastAsia="zh-CN"/>
        </w:rPr>
        <w:t>5.49</w:t>
      </w:r>
      <w:r>
        <w:rPr>
          <w:rFonts w:hint="eastAsia" w:ascii="仿宋_GB2312" w:eastAsia="仿宋_GB2312"/>
          <w:sz w:val="32"/>
          <w:szCs w:val="32"/>
        </w:rPr>
        <w:t>万元，下降</w:t>
      </w:r>
      <w:r>
        <w:rPr>
          <w:rFonts w:hint="eastAsia" w:ascii="仿宋_GB2312" w:eastAsia="仿宋_GB2312"/>
          <w:sz w:val="32"/>
          <w:szCs w:val="32"/>
          <w:lang w:val="en-US" w:eastAsia="zh-CN"/>
        </w:rPr>
        <w:t>20</w:t>
      </w:r>
      <w:r>
        <w:rPr>
          <w:rFonts w:hint="eastAsia" w:ascii="仿宋_GB2312" w:eastAsia="仿宋_GB2312"/>
          <w:sz w:val="32"/>
          <w:szCs w:val="32"/>
        </w:rPr>
        <w:t>%，主要原因是</w:t>
      </w:r>
      <w:r>
        <w:rPr>
          <w:rFonts w:hint="eastAsia" w:ascii="仿宋_GB2312" w:eastAsia="仿宋_GB2312"/>
          <w:sz w:val="32"/>
          <w:szCs w:val="32"/>
          <w:lang w:val="en-US" w:eastAsia="zh-CN"/>
        </w:rPr>
        <w:t>维修项目小、资金少</w:t>
      </w:r>
      <w:r>
        <w:rPr>
          <w:rFonts w:hint="eastAsia" w:ascii="仿宋_GB2312" w:eastAsia="仿宋_GB2312"/>
          <w:sz w:val="32"/>
          <w:szCs w:val="32"/>
        </w:rPr>
        <w:t>。</w:t>
      </w:r>
    </w:p>
    <w:p>
      <w:pPr>
        <w:spacing w:line="640" w:lineRule="exact"/>
        <w:ind w:firstLine="640" w:firstLineChars="200"/>
        <w:rPr>
          <w:rFonts w:ascii="仿宋_GB2312" w:eastAsia="仿宋_GB2312"/>
          <w:sz w:val="32"/>
          <w:szCs w:val="32"/>
        </w:rPr>
      </w:pP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2017</w:t>
      </w:r>
      <w:r>
        <w:rPr>
          <w:rFonts w:hint="eastAsia" w:ascii="仿宋_GB2312" w:eastAsia="仿宋_GB2312"/>
          <w:b/>
          <w:sz w:val="32"/>
          <w:szCs w:val="32"/>
        </w:rPr>
        <w:t>年度财政拨款收入支出总表说明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2017</w:t>
      </w:r>
      <w:r>
        <w:rPr>
          <w:rFonts w:hint="eastAsia" w:ascii="仿宋_GB2312" w:eastAsia="仿宋_GB2312"/>
          <w:b/>
          <w:sz w:val="32"/>
          <w:szCs w:val="32"/>
        </w:rPr>
        <w:t>年度财政拨款收入说明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val="en-US" w:eastAsia="zh-CN"/>
        </w:rPr>
        <w:t>华桥小学2017</w:t>
      </w:r>
      <w:r>
        <w:rPr>
          <w:rFonts w:hint="eastAsia" w:ascii="仿宋_GB2312" w:eastAsia="仿宋_GB2312"/>
          <w:sz w:val="32"/>
          <w:szCs w:val="32"/>
        </w:rPr>
        <w:t>年度财政拨款收入合计</w:t>
      </w:r>
      <w:r>
        <w:rPr>
          <w:rFonts w:hint="eastAsia" w:ascii="仿宋_GB2312" w:eastAsia="仿宋_GB2312"/>
          <w:sz w:val="32"/>
          <w:szCs w:val="32"/>
          <w:lang w:val="en-US" w:eastAsia="zh-CN"/>
        </w:rPr>
        <w:t>252.19</w:t>
      </w:r>
      <w:r>
        <w:rPr>
          <w:rFonts w:hint="eastAsia" w:ascii="仿宋_GB2312" w:eastAsia="仿宋_GB2312"/>
          <w:sz w:val="32"/>
          <w:szCs w:val="32"/>
        </w:rPr>
        <w:t xml:space="preserve">万元。其中：一般公共预算财政拨款收入 </w:t>
      </w:r>
      <w:r>
        <w:rPr>
          <w:rFonts w:hint="eastAsia" w:ascii="仿宋_GB2312" w:eastAsia="仿宋_GB2312"/>
          <w:sz w:val="32"/>
          <w:szCs w:val="32"/>
          <w:lang w:val="en-US" w:eastAsia="zh-CN"/>
        </w:rPr>
        <w:t>218.29</w:t>
      </w:r>
      <w:r>
        <w:rPr>
          <w:rFonts w:hint="eastAsia" w:ascii="仿宋_GB2312" w:eastAsia="仿宋_GB2312"/>
          <w:sz w:val="32"/>
          <w:szCs w:val="32"/>
        </w:rPr>
        <w:t>万元，比年初预算数增加</w:t>
      </w:r>
      <w:r>
        <w:rPr>
          <w:rFonts w:hint="eastAsia" w:ascii="仿宋_GB2312" w:eastAsia="仿宋_GB2312"/>
          <w:sz w:val="32"/>
          <w:szCs w:val="32"/>
          <w:lang w:val="en-US" w:eastAsia="zh-CN"/>
        </w:rPr>
        <w:t>53.74</w:t>
      </w:r>
      <w:r>
        <w:rPr>
          <w:rFonts w:hint="eastAsia" w:ascii="仿宋_GB2312" w:eastAsia="仿宋_GB2312"/>
          <w:sz w:val="32"/>
          <w:szCs w:val="32"/>
        </w:rPr>
        <w:t>万元，增长</w:t>
      </w:r>
      <w:r>
        <w:rPr>
          <w:rFonts w:hint="eastAsia" w:ascii="仿宋_GB2312" w:eastAsia="仿宋_GB2312"/>
          <w:sz w:val="32"/>
          <w:szCs w:val="32"/>
          <w:lang w:val="en-US" w:eastAsia="zh-CN"/>
        </w:rPr>
        <w:t>32</w:t>
      </w:r>
      <w:r>
        <w:rPr>
          <w:rFonts w:hint="eastAsia" w:ascii="仿宋_GB2312" w:eastAsia="仿宋_GB2312"/>
          <w:sz w:val="32"/>
          <w:szCs w:val="32"/>
        </w:rPr>
        <w:t xml:space="preserve"> %；主要原因是</w:t>
      </w:r>
      <w:r>
        <w:rPr>
          <w:rFonts w:hint="eastAsia" w:ascii="仿宋_GB2312" w:eastAsia="仿宋_GB2312"/>
          <w:sz w:val="32"/>
          <w:szCs w:val="32"/>
          <w:lang w:val="en-US" w:eastAsia="zh-CN"/>
        </w:rPr>
        <w:t>增加人员工资及奖金、专项购置资金</w:t>
      </w:r>
      <w:r>
        <w:rPr>
          <w:rFonts w:hint="eastAsia" w:ascii="仿宋_GB2312" w:eastAsia="仿宋_GB2312"/>
          <w:sz w:val="32"/>
          <w:szCs w:val="32"/>
        </w:rPr>
        <w:t>；政府性基金预算财政拨款收入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 xml:space="preserve"> 万元，比年初预算数增加（减少） </w:t>
      </w:r>
      <w:r>
        <w:rPr>
          <w:rFonts w:hint="eastAsia" w:ascii="仿宋_GB2312" w:eastAsia="仿宋_GB2312"/>
          <w:sz w:val="32"/>
          <w:szCs w:val="32"/>
          <w:lang w:val="en-US" w:eastAsia="zh-CN"/>
        </w:rPr>
        <w:t>0</w:t>
      </w:r>
      <w:r>
        <w:rPr>
          <w:rFonts w:hint="eastAsia" w:ascii="仿宋_GB2312" w:eastAsia="仿宋_GB2312"/>
          <w:sz w:val="32"/>
          <w:szCs w:val="32"/>
        </w:rPr>
        <w:t>万元，增长（下降） %</w:t>
      </w:r>
      <w:r>
        <w:rPr>
          <w:rFonts w:hint="eastAsia" w:ascii="仿宋_GB2312" w:eastAsia="仿宋_GB2312"/>
          <w:sz w:val="32"/>
          <w:szCs w:val="32"/>
          <w:lang w:eastAsia="zh-CN"/>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2017</w:t>
      </w:r>
      <w:r>
        <w:rPr>
          <w:rFonts w:hint="eastAsia" w:ascii="仿宋_GB2312" w:eastAsia="仿宋_GB2312"/>
          <w:b/>
          <w:sz w:val="32"/>
          <w:szCs w:val="32"/>
        </w:rPr>
        <w:t>年度财政拨款支出说明</w:t>
      </w:r>
    </w:p>
    <w:p>
      <w:pPr>
        <w:spacing w:line="64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华桥小学2017</w:t>
      </w:r>
      <w:r>
        <w:rPr>
          <w:rFonts w:hint="eastAsia" w:ascii="仿宋_GB2312" w:eastAsia="仿宋_GB2312"/>
          <w:sz w:val="32"/>
          <w:szCs w:val="32"/>
        </w:rPr>
        <w:t>年度财政拨款支出合计</w:t>
      </w:r>
      <w:r>
        <w:rPr>
          <w:rFonts w:hint="eastAsia" w:ascii="仿宋_GB2312" w:eastAsia="仿宋_GB2312"/>
          <w:sz w:val="32"/>
          <w:szCs w:val="32"/>
          <w:lang w:val="en-US" w:eastAsia="zh-CN"/>
        </w:rPr>
        <w:t>228.35</w:t>
      </w:r>
      <w:r>
        <w:rPr>
          <w:rFonts w:hint="eastAsia" w:ascii="仿宋_GB2312" w:eastAsia="仿宋_GB2312"/>
          <w:sz w:val="32"/>
          <w:szCs w:val="32"/>
        </w:rPr>
        <w:t>万元。其中：一般公共预算财政拨款支出</w:t>
      </w:r>
      <w:r>
        <w:rPr>
          <w:rFonts w:hint="eastAsia" w:ascii="仿宋_GB2312" w:eastAsia="仿宋_GB2312"/>
          <w:sz w:val="32"/>
          <w:szCs w:val="32"/>
          <w:lang w:val="en-US" w:eastAsia="zh-CN"/>
        </w:rPr>
        <w:t>208.89</w:t>
      </w:r>
      <w:r>
        <w:rPr>
          <w:rFonts w:hint="eastAsia" w:ascii="仿宋_GB2312" w:eastAsia="仿宋_GB2312"/>
          <w:sz w:val="32"/>
          <w:szCs w:val="32"/>
        </w:rPr>
        <w:t>万元，比年初预算数增加</w:t>
      </w:r>
      <w:r>
        <w:rPr>
          <w:rFonts w:hint="eastAsia" w:ascii="仿宋_GB2312" w:eastAsia="仿宋_GB2312"/>
          <w:sz w:val="32"/>
          <w:szCs w:val="32"/>
          <w:lang w:val="en-US" w:eastAsia="zh-CN"/>
        </w:rPr>
        <w:t>44.34</w:t>
      </w:r>
      <w:r>
        <w:rPr>
          <w:rFonts w:hint="eastAsia" w:ascii="仿宋_GB2312" w:eastAsia="仿宋_GB2312"/>
          <w:sz w:val="32"/>
          <w:szCs w:val="32"/>
        </w:rPr>
        <w:t>万元，增长</w:t>
      </w:r>
      <w:r>
        <w:rPr>
          <w:rFonts w:hint="eastAsia" w:ascii="仿宋_GB2312" w:eastAsia="仿宋_GB2312"/>
          <w:sz w:val="32"/>
          <w:szCs w:val="32"/>
          <w:lang w:val="en-US" w:eastAsia="zh-CN"/>
        </w:rPr>
        <w:t>27</w:t>
      </w:r>
      <w:r>
        <w:rPr>
          <w:rFonts w:hint="eastAsia" w:ascii="仿宋_GB2312" w:eastAsia="仿宋_GB2312"/>
          <w:sz w:val="32"/>
          <w:szCs w:val="32"/>
        </w:rPr>
        <w:t xml:space="preserve"> %；主要原因是</w:t>
      </w:r>
      <w:r>
        <w:rPr>
          <w:rFonts w:hint="eastAsia" w:ascii="仿宋_GB2312" w:eastAsia="仿宋_GB2312"/>
          <w:sz w:val="32"/>
          <w:szCs w:val="32"/>
          <w:lang w:val="en-US" w:eastAsia="zh-CN"/>
        </w:rPr>
        <w:t>人员工资增加</w:t>
      </w:r>
      <w:r>
        <w:rPr>
          <w:rFonts w:hint="eastAsia" w:ascii="仿宋_GB2312" w:eastAsia="仿宋_GB2312"/>
          <w:sz w:val="32"/>
          <w:szCs w:val="32"/>
        </w:rPr>
        <w:t>；政府性基金预算财政拨款支出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 xml:space="preserve"> 万元，比年初预算数增加（减少）</w:t>
      </w:r>
      <w:r>
        <w:rPr>
          <w:rFonts w:hint="eastAsia" w:ascii="仿宋_GB2312" w:eastAsia="仿宋_GB2312"/>
          <w:sz w:val="32"/>
          <w:szCs w:val="32"/>
          <w:lang w:val="en-US" w:eastAsia="zh-CN"/>
        </w:rPr>
        <w:t>0</w:t>
      </w:r>
      <w:r>
        <w:rPr>
          <w:rFonts w:hint="eastAsia" w:ascii="仿宋_GB2312" w:eastAsia="仿宋_GB2312"/>
          <w:sz w:val="32"/>
          <w:szCs w:val="32"/>
        </w:rPr>
        <w:t xml:space="preserve"> 万元，增长（下降）</w:t>
      </w:r>
      <w:r>
        <w:rPr>
          <w:rFonts w:hint="eastAsia" w:ascii="仿宋_GB2312" w:eastAsia="仿宋_GB2312"/>
          <w:sz w:val="32"/>
          <w:szCs w:val="32"/>
          <w:lang w:val="en-US" w:eastAsia="zh-CN"/>
        </w:rPr>
        <w:t>0</w:t>
      </w:r>
      <w:r>
        <w:rPr>
          <w:rFonts w:hint="eastAsia" w:ascii="仿宋_GB2312" w:eastAsia="仿宋_GB2312"/>
          <w:sz w:val="32"/>
          <w:szCs w:val="32"/>
        </w:rPr>
        <w:t xml:space="preserve"> %</w:t>
      </w:r>
      <w:r>
        <w:rPr>
          <w:rFonts w:hint="eastAsia" w:ascii="仿宋_GB2312" w:eastAsia="仿宋_GB2312"/>
          <w:sz w:val="32"/>
          <w:szCs w:val="32"/>
          <w:lang w:eastAsia="zh-CN"/>
        </w:rPr>
        <w:t>。</w:t>
      </w:r>
    </w:p>
    <w:p>
      <w:pPr>
        <w:spacing w:line="640" w:lineRule="exact"/>
        <w:ind w:firstLine="643" w:firstLineChars="200"/>
        <w:rPr>
          <w:rFonts w:ascii="仿宋_GB2312" w:eastAsia="仿宋_GB2312"/>
          <w:sz w:val="32"/>
          <w:szCs w:val="32"/>
        </w:rPr>
      </w:pPr>
      <w:r>
        <w:rPr>
          <w:rFonts w:hint="eastAsia" w:ascii="仿宋_GB2312" w:eastAsia="仿宋_GB2312"/>
          <w:b/>
          <w:sz w:val="32"/>
          <w:szCs w:val="32"/>
        </w:rPr>
        <w:t>分功能科目看，</w:t>
      </w:r>
      <w:r>
        <w:rPr>
          <w:rFonts w:hint="eastAsia" w:ascii="仿宋_GB2312" w:eastAsia="仿宋_GB2312"/>
          <w:sz w:val="32"/>
          <w:szCs w:val="32"/>
        </w:rPr>
        <w:t>一般公共服务（类）</w:t>
      </w:r>
      <w:r>
        <w:rPr>
          <w:rFonts w:hint="eastAsia" w:ascii="仿宋_GB2312" w:eastAsia="仿宋_GB2312"/>
          <w:sz w:val="32"/>
          <w:szCs w:val="32"/>
          <w:lang w:val="en-US" w:eastAsia="zh-CN"/>
        </w:rPr>
        <w:t>143.12</w:t>
      </w:r>
      <w:r>
        <w:rPr>
          <w:rFonts w:hint="eastAsia" w:ascii="仿宋_GB2312" w:eastAsia="仿宋_GB2312"/>
          <w:sz w:val="32"/>
          <w:szCs w:val="32"/>
        </w:rPr>
        <w:t xml:space="preserve"> 万元，主要用于</w:t>
      </w:r>
      <w:r>
        <w:rPr>
          <w:rFonts w:hint="eastAsia" w:ascii="仿宋_GB2312" w:eastAsia="仿宋_GB2312"/>
          <w:sz w:val="32"/>
          <w:szCs w:val="32"/>
          <w:lang w:val="en-US" w:eastAsia="zh-CN"/>
        </w:rPr>
        <w:t>人员工资及家庭补助支出</w:t>
      </w:r>
      <w:r>
        <w:rPr>
          <w:rFonts w:hint="eastAsia" w:ascii="仿宋_GB2312" w:eastAsia="仿宋_GB2312"/>
          <w:sz w:val="32"/>
          <w:szCs w:val="32"/>
        </w:rPr>
        <w:t>；一般公共服务</w:t>
      </w:r>
      <w:r>
        <w:rPr>
          <w:rFonts w:hint="eastAsia" w:ascii="仿宋_GB2312" w:eastAsia="仿宋_GB2312"/>
          <w:sz w:val="32"/>
          <w:szCs w:val="32"/>
          <w:lang w:val="en-US" w:eastAsia="zh-CN"/>
        </w:rPr>
        <w:t>21.31</w:t>
      </w:r>
      <w:r>
        <w:rPr>
          <w:rFonts w:hint="eastAsia" w:ascii="仿宋_GB2312" w:eastAsia="仿宋_GB2312"/>
          <w:sz w:val="32"/>
          <w:szCs w:val="32"/>
        </w:rPr>
        <w:t xml:space="preserve"> 万元，主要用于</w:t>
      </w:r>
      <w:r>
        <w:rPr>
          <w:rFonts w:hint="eastAsia" w:ascii="仿宋_GB2312" w:eastAsia="仿宋_GB2312"/>
          <w:sz w:val="32"/>
          <w:szCs w:val="32"/>
          <w:lang w:val="en-US" w:eastAsia="zh-CN"/>
        </w:rPr>
        <w:t>商品服务及其他资本性支出</w:t>
      </w:r>
      <w:r>
        <w:rPr>
          <w:rFonts w:hint="eastAsia" w:ascii="仿宋_GB2312"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w:t>
      </w:r>
      <w:r>
        <w:rPr>
          <w:rFonts w:hint="eastAsia" w:ascii="仿宋_GB2312" w:eastAsia="仿宋_GB2312"/>
          <w:b/>
          <w:sz w:val="32"/>
          <w:szCs w:val="32"/>
          <w:lang w:val="en-US" w:eastAsia="zh-CN"/>
        </w:rPr>
        <w:t>2017</w:t>
      </w:r>
      <w:r>
        <w:rPr>
          <w:rFonts w:hint="eastAsia" w:ascii="仿宋_GB2312" w:eastAsia="仿宋_GB2312"/>
          <w:b/>
          <w:sz w:val="32"/>
          <w:szCs w:val="32"/>
        </w:rPr>
        <w:t>年度财政拨款“三公”经费支出决算情况说明</w:t>
      </w:r>
    </w:p>
    <w:p>
      <w:pPr>
        <w:numPr>
          <w:ilvl w:val="0"/>
          <w:numId w:val="2"/>
        </w:numPr>
        <w:ind w:firstLine="643" w:firstLineChars="200"/>
        <w:rPr>
          <w:rFonts w:hint="eastAsia" w:ascii="仿宋_GB2312" w:hAnsi="宋体" w:eastAsia="仿宋_GB2312"/>
          <w:b/>
          <w:sz w:val="32"/>
          <w:szCs w:val="32"/>
        </w:rPr>
      </w:pPr>
      <w:r>
        <w:rPr>
          <w:rFonts w:hint="eastAsia" w:ascii="仿宋_GB2312" w:hAnsi="宋体" w:eastAsia="仿宋_GB2312"/>
          <w:b/>
          <w:sz w:val="32"/>
          <w:szCs w:val="32"/>
        </w:rPr>
        <w:t>“三公”经费财政拨款支出决算总体情况</w:t>
      </w:r>
    </w:p>
    <w:p>
      <w:pPr>
        <w:numPr>
          <w:ilvl w:val="0"/>
          <w:numId w:val="2"/>
        </w:numPr>
        <w:ind w:firstLine="640" w:firstLineChars="200"/>
        <w:rPr>
          <w:rFonts w:ascii="仿宋_GB2312" w:hAnsi="宋体" w:eastAsia="仿宋_GB2312"/>
          <w:sz w:val="32"/>
          <w:szCs w:val="32"/>
        </w:rPr>
      </w:pPr>
      <w:r>
        <w:rPr>
          <w:rFonts w:hint="eastAsia" w:ascii="仿宋_GB2312" w:eastAsia="仿宋_GB2312"/>
          <w:sz w:val="32"/>
          <w:szCs w:val="32"/>
          <w:lang w:val="en-US" w:eastAsia="zh-CN"/>
        </w:rPr>
        <w:t>华桥小学2017</w:t>
      </w:r>
      <w:r>
        <w:rPr>
          <w:rFonts w:hint="eastAsia" w:ascii="仿宋_GB2312" w:eastAsia="仿宋_GB2312"/>
          <w:sz w:val="32"/>
          <w:szCs w:val="32"/>
        </w:rPr>
        <w:t>年度“</w:t>
      </w:r>
      <w:r>
        <w:rPr>
          <w:rFonts w:hint="eastAsia" w:ascii="仿宋_GB2312" w:hAnsi="宋体" w:eastAsia="仿宋_GB2312"/>
          <w:sz w:val="32"/>
          <w:szCs w:val="32"/>
        </w:rPr>
        <w:t>三公”经费财政拨款支出决算为</w:t>
      </w:r>
      <w:r>
        <w:rPr>
          <w:rFonts w:hint="eastAsia" w:ascii="仿宋_GB2312" w:hAnsi="宋体" w:eastAsia="仿宋_GB2312"/>
          <w:sz w:val="32"/>
          <w:szCs w:val="32"/>
          <w:lang w:val="en-US" w:eastAsia="zh-CN"/>
        </w:rPr>
        <w:t>0</w:t>
      </w:r>
      <w:r>
        <w:rPr>
          <w:rFonts w:hint="eastAsia" w:ascii="仿宋_GB2312" w:hAnsi="宋体" w:eastAsia="仿宋_GB2312"/>
          <w:sz w:val="32"/>
          <w:szCs w:val="32"/>
        </w:rPr>
        <w:t xml:space="preserve"> 万元，完成预算 </w:t>
      </w:r>
      <w:r>
        <w:rPr>
          <w:rFonts w:hint="eastAsia" w:ascii="仿宋_GB2312" w:hAnsi="宋体" w:eastAsia="仿宋_GB2312"/>
          <w:sz w:val="32"/>
          <w:szCs w:val="32"/>
          <w:lang w:val="en-US" w:eastAsia="zh-CN"/>
        </w:rPr>
        <w:t>0</w:t>
      </w:r>
      <w:r>
        <w:rPr>
          <w:rFonts w:hint="eastAsia" w:ascii="仿宋_GB2312" w:hAnsi="宋体" w:eastAsia="仿宋_GB2312"/>
          <w:sz w:val="32"/>
          <w:szCs w:val="32"/>
        </w:rPr>
        <w:t xml:space="preserve">万元的 </w:t>
      </w:r>
      <w:r>
        <w:rPr>
          <w:rFonts w:hint="eastAsia" w:ascii="仿宋_GB2312" w:hAnsi="宋体" w:eastAsia="仿宋_GB2312"/>
          <w:sz w:val="32"/>
          <w:szCs w:val="32"/>
          <w:lang w:val="en-US" w:eastAsia="zh-CN"/>
        </w:rPr>
        <w:t>0</w:t>
      </w:r>
      <w:r>
        <w:rPr>
          <w:rFonts w:hint="eastAsia" w:ascii="仿宋_GB2312" w:hAnsi="宋体" w:eastAsia="仿宋_GB2312"/>
          <w:sz w:val="32"/>
          <w:szCs w:val="32"/>
        </w:rPr>
        <w:t>%。其中：</w:t>
      </w:r>
      <w:r>
        <w:rPr>
          <w:rFonts w:hint="eastAsia" w:ascii="仿宋_GB2312" w:eastAsia="仿宋_GB2312"/>
          <w:sz w:val="32"/>
          <w:szCs w:val="32"/>
        </w:rPr>
        <w:t xml:space="preserve">因公出国（境）费支出决算为 </w:t>
      </w:r>
      <w:r>
        <w:rPr>
          <w:rFonts w:hint="eastAsia" w:ascii="仿宋_GB2312" w:eastAsia="仿宋_GB2312"/>
          <w:sz w:val="32"/>
          <w:szCs w:val="32"/>
          <w:lang w:val="en-US" w:eastAsia="zh-CN"/>
        </w:rPr>
        <w:t>0</w:t>
      </w:r>
      <w:r>
        <w:rPr>
          <w:rFonts w:hint="eastAsia" w:ascii="仿宋_GB2312" w:eastAsia="仿宋_GB2312"/>
          <w:sz w:val="32"/>
          <w:szCs w:val="32"/>
        </w:rPr>
        <w:t xml:space="preserve"> 万元，完成预算 </w:t>
      </w:r>
      <w:r>
        <w:rPr>
          <w:rFonts w:hint="eastAsia" w:ascii="仿宋_GB2312" w:eastAsia="仿宋_GB2312"/>
          <w:sz w:val="32"/>
          <w:szCs w:val="32"/>
          <w:lang w:val="en-US" w:eastAsia="zh-CN"/>
        </w:rPr>
        <w:t>0</w:t>
      </w:r>
      <w:r>
        <w:rPr>
          <w:rFonts w:hint="eastAsia" w:ascii="仿宋_GB2312" w:eastAsia="仿宋_GB2312"/>
          <w:sz w:val="32"/>
          <w:szCs w:val="32"/>
        </w:rPr>
        <w:t>万元的</w:t>
      </w:r>
      <w:r>
        <w:rPr>
          <w:rFonts w:hint="eastAsia" w:ascii="仿宋_GB2312" w:eastAsia="仿宋_GB2312"/>
          <w:sz w:val="32"/>
          <w:szCs w:val="32"/>
          <w:lang w:val="en-US" w:eastAsia="zh-CN"/>
        </w:rPr>
        <w:t>0</w:t>
      </w:r>
      <w:r>
        <w:rPr>
          <w:rFonts w:hint="eastAsia" w:ascii="仿宋_GB2312" w:eastAsia="仿宋_GB2312"/>
          <w:sz w:val="32"/>
          <w:szCs w:val="32"/>
        </w:rPr>
        <w:t xml:space="preserve"> %；公务用车购置及运行维护费支出决算为 </w:t>
      </w:r>
      <w:r>
        <w:rPr>
          <w:rFonts w:hint="eastAsia" w:ascii="仿宋_GB2312" w:eastAsia="仿宋_GB2312"/>
          <w:sz w:val="32"/>
          <w:szCs w:val="32"/>
          <w:lang w:val="en-US" w:eastAsia="zh-CN"/>
        </w:rPr>
        <w:t>0</w:t>
      </w:r>
      <w:r>
        <w:rPr>
          <w:rFonts w:hint="eastAsia" w:ascii="仿宋_GB2312" w:eastAsia="仿宋_GB2312"/>
          <w:sz w:val="32"/>
          <w:szCs w:val="32"/>
        </w:rPr>
        <w:t xml:space="preserve"> 万元，完成预算</w:t>
      </w:r>
      <w:r>
        <w:rPr>
          <w:rFonts w:hint="eastAsia" w:ascii="仿宋_GB2312" w:eastAsia="仿宋_GB2312"/>
          <w:sz w:val="32"/>
          <w:szCs w:val="32"/>
          <w:lang w:val="en-US" w:eastAsia="zh-CN"/>
        </w:rPr>
        <w:t>0</w:t>
      </w:r>
      <w:r>
        <w:rPr>
          <w:rFonts w:hint="eastAsia" w:ascii="仿宋_GB2312" w:eastAsia="仿宋_GB2312"/>
          <w:sz w:val="32"/>
          <w:szCs w:val="32"/>
        </w:rPr>
        <w:t xml:space="preserve"> 万元的</w:t>
      </w:r>
      <w:r>
        <w:rPr>
          <w:rFonts w:hint="eastAsia" w:ascii="仿宋_GB2312" w:eastAsia="仿宋_GB2312"/>
          <w:sz w:val="32"/>
          <w:szCs w:val="32"/>
          <w:lang w:val="en-US" w:eastAsia="zh-CN"/>
        </w:rPr>
        <w:t>0</w:t>
      </w:r>
      <w:r>
        <w:rPr>
          <w:rFonts w:hint="eastAsia" w:ascii="仿宋_GB2312" w:eastAsia="仿宋_GB2312"/>
          <w:sz w:val="32"/>
          <w:szCs w:val="32"/>
        </w:rPr>
        <w:t xml:space="preserve"> %；公务接待费支出决算为 </w:t>
      </w:r>
      <w:r>
        <w:rPr>
          <w:rFonts w:hint="eastAsia" w:ascii="仿宋_GB2312" w:eastAsia="仿宋_GB2312"/>
          <w:sz w:val="32"/>
          <w:szCs w:val="32"/>
          <w:lang w:val="en-US" w:eastAsia="zh-CN"/>
        </w:rPr>
        <w:t>0</w:t>
      </w:r>
      <w:r>
        <w:rPr>
          <w:rFonts w:hint="eastAsia" w:ascii="仿宋_GB2312" w:eastAsia="仿宋_GB2312"/>
          <w:sz w:val="32"/>
          <w:szCs w:val="32"/>
        </w:rPr>
        <w:t xml:space="preserve"> 万元，完成预算</w:t>
      </w:r>
      <w:r>
        <w:rPr>
          <w:rFonts w:hint="eastAsia" w:ascii="仿宋_GB2312" w:eastAsia="仿宋_GB2312"/>
          <w:sz w:val="32"/>
          <w:szCs w:val="32"/>
          <w:lang w:val="en-US" w:eastAsia="zh-CN"/>
        </w:rPr>
        <w:t>0</w:t>
      </w:r>
      <w:r>
        <w:rPr>
          <w:rFonts w:hint="eastAsia" w:ascii="仿宋_GB2312" w:eastAsia="仿宋_GB2312"/>
          <w:sz w:val="32"/>
          <w:szCs w:val="32"/>
        </w:rPr>
        <w:t xml:space="preserve"> 万元的</w:t>
      </w:r>
      <w:r>
        <w:rPr>
          <w:rFonts w:hint="eastAsia" w:ascii="仿宋_GB2312" w:eastAsia="仿宋_GB2312"/>
          <w:sz w:val="32"/>
          <w:szCs w:val="32"/>
          <w:lang w:val="en-US" w:eastAsia="zh-CN"/>
        </w:rPr>
        <w:t>0</w:t>
      </w:r>
      <w:r>
        <w:rPr>
          <w:rFonts w:hint="eastAsia" w:ascii="仿宋_GB2312" w:eastAsia="仿宋_GB2312"/>
          <w:sz w:val="32"/>
          <w:szCs w:val="32"/>
        </w:rPr>
        <w:t xml:space="preserve"> %。xx年度“三公”经费支出决算小于（大于）预算数的主要原因是</w:t>
      </w:r>
      <w:r>
        <w:rPr>
          <w:rFonts w:hint="eastAsia" w:ascii="仿宋_GB2312" w:eastAsia="仿宋_GB2312"/>
          <w:sz w:val="32"/>
          <w:szCs w:val="32"/>
          <w:lang w:val="en-US" w:eastAsia="zh-CN"/>
        </w:rPr>
        <w:t>没有此项资金。</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hAnsi="宋体" w:eastAsia="仿宋_GB2312"/>
          <w:sz w:val="32"/>
          <w:szCs w:val="32"/>
          <w:lang w:val="en-US" w:eastAsia="zh-CN"/>
        </w:rPr>
        <w:t>2017</w:t>
      </w:r>
      <w:r>
        <w:rPr>
          <w:rFonts w:hint="eastAsia" w:ascii="仿宋_GB2312" w:hAnsi="宋体" w:eastAsia="仿宋_GB2312"/>
          <w:sz w:val="32"/>
          <w:szCs w:val="32"/>
        </w:rPr>
        <w:t>年</w:t>
      </w:r>
      <w:r>
        <w:rPr>
          <w:rFonts w:hint="eastAsia" w:ascii="仿宋_GB2312" w:eastAsia="仿宋_GB2312"/>
          <w:sz w:val="32"/>
          <w:szCs w:val="32"/>
        </w:rPr>
        <w:t xml:space="preserve">“三公”经费财政拨款支出决算中，因公出国（境）费 </w:t>
      </w:r>
      <w:r>
        <w:rPr>
          <w:rFonts w:hint="eastAsia" w:ascii="仿宋_GB2312" w:eastAsia="仿宋_GB2312"/>
          <w:sz w:val="32"/>
          <w:szCs w:val="32"/>
          <w:lang w:val="en-US" w:eastAsia="zh-CN"/>
        </w:rPr>
        <w:t>0</w:t>
      </w:r>
      <w:r>
        <w:rPr>
          <w:rFonts w:hint="eastAsia" w:ascii="仿宋_GB2312" w:eastAsia="仿宋_GB2312"/>
          <w:sz w:val="32"/>
          <w:szCs w:val="32"/>
        </w:rPr>
        <w:t xml:space="preserve">万元，占 %；公务用车购置及运行维护费支出 </w:t>
      </w:r>
      <w:r>
        <w:rPr>
          <w:rFonts w:hint="eastAsia" w:ascii="仿宋_GB2312" w:eastAsia="仿宋_GB2312"/>
          <w:sz w:val="32"/>
          <w:szCs w:val="32"/>
          <w:lang w:val="en-US" w:eastAsia="zh-CN"/>
        </w:rPr>
        <w:t>0</w:t>
      </w:r>
      <w:r>
        <w:rPr>
          <w:rFonts w:hint="eastAsia" w:ascii="仿宋_GB2312" w:eastAsia="仿宋_GB2312"/>
          <w:sz w:val="32"/>
          <w:szCs w:val="32"/>
        </w:rPr>
        <w:t>万元，占 %；公务接待费支出 万元，占 %。具体情况如下：</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1.因公出国（境）费支出 </w:t>
      </w:r>
      <w:r>
        <w:rPr>
          <w:rFonts w:hint="eastAsia" w:ascii="仿宋_GB2312" w:eastAsia="仿宋_GB2312"/>
          <w:sz w:val="32"/>
          <w:szCs w:val="32"/>
          <w:lang w:val="en-US" w:eastAsia="zh-CN"/>
        </w:rPr>
        <w:t>0</w:t>
      </w:r>
      <w:r>
        <w:rPr>
          <w:rFonts w:hint="eastAsia" w:ascii="仿宋_GB2312" w:eastAsia="仿宋_GB2312"/>
          <w:sz w:val="32"/>
          <w:szCs w:val="32"/>
        </w:rPr>
        <w:t xml:space="preserve"> 万元。</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2.公务用车购置及运行维护费支出 </w:t>
      </w:r>
      <w:r>
        <w:rPr>
          <w:rFonts w:hint="eastAsia" w:ascii="仿宋_GB2312" w:eastAsia="仿宋_GB2312"/>
          <w:sz w:val="32"/>
          <w:szCs w:val="32"/>
          <w:lang w:val="en-US" w:eastAsia="zh-CN"/>
        </w:rPr>
        <w:t>0</w:t>
      </w:r>
      <w:r>
        <w:rPr>
          <w:rFonts w:hint="eastAsia" w:ascii="仿宋_GB2312" w:eastAsia="仿宋_GB2312"/>
          <w:sz w:val="32"/>
          <w:szCs w:val="32"/>
        </w:rPr>
        <w:t xml:space="preserve"> 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 xml:space="preserve">3.公务接待费支出 </w:t>
      </w:r>
      <w:r>
        <w:rPr>
          <w:rFonts w:hint="eastAsia" w:ascii="仿宋_GB2312" w:eastAsia="仿宋_GB2312"/>
          <w:sz w:val="32"/>
          <w:szCs w:val="32"/>
          <w:lang w:val="en-US" w:eastAsia="zh-CN"/>
        </w:rPr>
        <w:t>0</w:t>
      </w:r>
      <w:r>
        <w:rPr>
          <w:rFonts w:hint="eastAsia" w:ascii="仿宋_GB2312" w:eastAsia="仿宋_GB2312"/>
          <w:sz w:val="32"/>
          <w:szCs w:val="32"/>
        </w:rPr>
        <w:t xml:space="preserve"> 万元</w:t>
      </w:r>
      <w:r>
        <w:rPr>
          <w:rFonts w:hint="eastAsia" w:ascii="仿宋_GB2312" w:eastAsia="仿宋_GB2312"/>
          <w:sz w:val="32"/>
          <w:szCs w:val="32"/>
          <w:lang w:eastAsia="zh-CN"/>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四、其他重要事项的情况说明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（一）机关运行经费支出情况</w:t>
      </w:r>
    </w:p>
    <w:p>
      <w:pPr>
        <w:spacing w:line="288" w:lineRule="auto"/>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本单位非机关单位。</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（二）政府采购支出情况说明</w:t>
      </w:r>
    </w:p>
    <w:p>
      <w:pPr>
        <w:spacing w:line="288" w:lineRule="auto"/>
        <w:ind w:firstLine="640" w:firstLineChars="200"/>
        <w:rPr>
          <w:rFonts w:ascii="仿宋_GB2312" w:eastAsia="仿宋_GB2312"/>
          <w:b/>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年本部门政府采购支出总额</w:t>
      </w:r>
      <w:r>
        <w:rPr>
          <w:rFonts w:hint="eastAsia" w:ascii="仿宋_GB2312" w:eastAsia="仿宋_GB2312"/>
          <w:sz w:val="32"/>
          <w:szCs w:val="32"/>
          <w:lang w:val="en-US" w:eastAsia="zh-CN"/>
        </w:rPr>
        <w:t>14.75</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2</w:t>
      </w:r>
      <w:r>
        <w:rPr>
          <w:rFonts w:hint="eastAsia" w:ascii="仿宋_GB2312" w:eastAsia="仿宋_GB2312"/>
          <w:sz w:val="32"/>
          <w:szCs w:val="32"/>
        </w:rPr>
        <w:t>万元、政府采购工程支出</w:t>
      </w:r>
      <w:r>
        <w:rPr>
          <w:rFonts w:hint="eastAsia" w:ascii="仿宋_GB2312" w:eastAsia="仿宋_GB2312"/>
          <w:sz w:val="32"/>
          <w:szCs w:val="32"/>
          <w:lang w:val="en-US" w:eastAsia="zh-CN"/>
        </w:rPr>
        <w:t>12.75</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（三）国有资产占用情况</w:t>
      </w:r>
    </w:p>
    <w:p>
      <w:pPr>
        <w:spacing w:line="580" w:lineRule="exact"/>
        <w:ind w:firstLine="640" w:firstLineChars="200"/>
        <w:rPr>
          <w:rFonts w:ascii="仿宋_GB2312" w:eastAsia="仿宋_GB2312"/>
          <w:b/>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val="en-US" w:eastAsia="zh-CN"/>
        </w:rPr>
        <w:t>固定资产总值是40.51万元，流动资产是50.36万元。本单位没有价值50万元以上的通用设备和专用设备。</w:t>
      </w:r>
    </w:p>
    <w:p>
      <w:pPr>
        <w:spacing w:line="580" w:lineRule="exact"/>
        <w:ind w:firstLine="643" w:firstLineChars="200"/>
        <w:rPr>
          <w:rFonts w:ascii="仿宋_GB2312" w:eastAsia="仿宋_GB2312"/>
          <w:b/>
          <w:sz w:val="32"/>
          <w:szCs w:val="32"/>
        </w:rPr>
      </w:pPr>
      <w:r>
        <w:rPr>
          <w:rFonts w:hint="eastAsia" w:ascii="仿宋_GB2312" w:eastAsia="仿宋_GB2312"/>
          <w:b/>
          <w:sz w:val="32"/>
          <w:szCs w:val="32"/>
        </w:rPr>
        <w:t>（四）预算绩效管理工作开展情况。</w:t>
      </w:r>
    </w:p>
    <w:p>
      <w:pPr>
        <w:snapToGrid w:val="0"/>
        <w:spacing w:line="580" w:lineRule="exact"/>
        <w:ind w:firstLine="200"/>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b/>
          <w:sz w:val="32"/>
          <w:szCs w:val="32"/>
        </w:rPr>
        <w:t>绩效管理工作总体情况。</w:t>
      </w:r>
      <w:r>
        <w:rPr>
          <w:rFonts w:hint="eastAsia" w:ascii="仿宋_GB2312" w:eastAsia="仿宋_GB2312"/>
          <w:sz w:val="32"/>
          <w:szCs w:val="32"/>
        </w:rPr>
        <w:t>根据财政预算管理要求，我</w:t>
      </w:r>
      <w:r>
        <w:rPr>
          <w:rFonts w:hint="eastAsia" w:ascii="仿宋_GB2312" w:eastAsia="仿宋_GB2312"/>
          <w:sz w:val="32"/>
          <w:szCs w:val="32"/>
          <w:lang w:val="en-US" w:eastAsia="zh-CN"/>
        </w:rPr>
        <w:t>校2017</w:t>
      </w:r>
      <w:r>
        <w:rPr>
          <w:rFonts w:hint="eastAsia" w:ascii="仿宋_GB2312" w:eastAsia="仿宋_GB2312"/>
          <w:sz w:val="32"/>
          <w:szCs w:val="32"/>
        </w:rPr>
        <w:t>年度一般公共预算项目支出全面开展绩效自评。其中，</w:t>
      </w:r>
      <w:r>
        <w:rPr>
          <w:rFonts w:hint="eastAsia" w:ascii="仿宋_GB2312" w:eastAsia="仿宋_GB2312"/>
          <w:sz w:val="32"/>
          <w:szCs w:val="32"/>
          <w:lang w:eastAsia="zh-CN"/>
        </w:rPr>
        <w:t>省级</w:t>
      </w:r>
      <w:r>
        <w:rPr>
          <w:rFonts w:hint="eastAsia" w:ascii="仿宋_GB2312" w:eastAsia="仿宋_GB2312"/>
          <w:sz w:val="32"/>
          <w:szCs w:val="32"/>
          <w:lang w:val="en-US" w:eastAsia="zh-CN"/>
        </w:rPr>
        <w:t>专项资金二项，分别为强师工程地方奖补资金和教育创现补助资金，</w:t>
      </w:r>
      <w:r>
        <w:rPr>
          <w:rFonts w:hint="eastAsia" w:ascii="仿宋_GB2312" w:eastAsia="仿宋_GB2312"/>
          <w:sz w:val="32"/>
          <w:szCs w:val="32"/>
        </w:rPr>
        <w:t>共涉及资金</w:t>
      </w:r>
      <w:r>
        <w:rPr>
          <w:rFonts w:hint="eastAsia" w:ascii="仿宋_GB2312" w:eastAsia="仿宋_GB2312"/>
          <w:sz w:val="32"/>
          <w:szCs w:val="32"/>
          <w:lang w:val="en-US" w:eastAsia="zh-CN"/>
        </w:rPr>
        <w:t>5.65</w:t>
      </w:r>
      <w:r>
        <w:rPr>
          <w:rFonts w:hint="eastAsia" w:ascii="仿宋_GB2312" w:eastAsia="仿宋_GB2312"/>
          <w:sz w:val="32"/>
          <w:szCs w:val="32"/>
        </w:rPr>
        <w:t>万元，自评覆盖率达到</w:t>
      </w:r>
      <w:r>
        <w:rPr>
          <w:rFonts w:hint="eastAsia" w:ascii="仿宋_GB2312" w:eastAsia="仿宋_GB2312"/>
          <w:sz w:val="32"/>
          <w:szCs w:val="32"/>
          <w:lang w:val="en-US" w:eastAsia="zh-CN"/>
        </w:rPr>
        <w:t>100</w:t>
      </w:r>
      <w:r>
        <w:rPr>
          <w:rFonts w:hint="eastAsia" w:ascii="仿宋_GB2312"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第四部分  名词解释</w:t>
      </w:r>
    </w:p>
    <w:p>
      <w:pPr>
        <w:spacing w:line="288" w:lineRule="auto"/>
        <w:ind w:firstLine="627" w:firstLineChars="196"/>
        <w:rPr>
          <w:rFonts w:ascii="仿宋_GB2312" w:eastAsia="仿宋_GB2312"/>
          <w:b/>
          <w:sz w:val="32"/>
          <w:szCs w:val="32"/>
        </w:rPr>
      </w:pPr>
      <w:r>
        <w:rPr>
          <w:rFonts w:hint="eastAsia" w:ascii="仿宋_GB2312" w:eastAsia="仿宋_GB2312"/>
          <w:sz w:val="32"/>
          <w:szCs w:val="32"/>
        </w:rPr>
        <w:t>为便于社会公众的理解，各部门需对公开内容中涉及的专业名词进行解释，格式如下：（以下专业名词解释供参考，各部门可以根据公开内容中涉及的专业名词自行予以增减）</w:t>
      </w:r>
    </w:p>
    <w:p>
      <w:pPr>
        <w:numPr>
          <w:ilvl w:val="0"/>
          <w:numId w:val="3"/>
        </w:numPr>
        <w:spacing w:line="288" w:lineRule="auto"/>
        <w:ind w:firstLine="630" w:firstLineChars="196"/>
        <w:rPr>
          <w:rFonts w:ascii="仿宋_GB2312" w:eastAsia="仿宋_GB2312"/>
          <w:sz w:val="32"/>
          <w:szCs w:val="32"/>
        </w:rPr>
      </w:pPr>
      <w:r>
        <w:rPr>
          <w:rFonts w:hint="eastAsia" w:ascii="仿宋_GB2312" w:eastAsia="仿宋_GB2312"/>
          <w:b/>
          <w:sz w:val="32"/>
          <w:szCs w:val="32"/>
        </w:rPr>
        <w:t>财政拨款收入：</w:t>
      </w:r>
      <w:r>
        <w:rPr>
          <w:rFonts w:hint="eastAsia" w:ascii="仿宋_GB2312" w:eastAsia="仿宋_GB2312"/>
          <w:sz w:val="32"/>
          <w:szCs w:val="32"/>
        </w:rPr>
        <w:t>指财政当年拨付的资金事业收入。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二、事业收入：</w:t>
      </w:r>
      <w:r>
        <w:rPr>
          <w:rFonts w:hint="eastAsia" w:ascii="仿宋_GB2312" w:eastAsia="仿宋_GB2312"/>
          <w:sz w:val="32"/>
          <w:szCs w:val="32"/>
        </w:rPr>
        <w:t>指事业单位开展专业业务活动及辅动所取得的收入。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五、用事业基金弥补收支差额：</w:t>
      </w:r>
      <w:r>
        <w:rPr>
          <w:rFonts w:hint="eastAsia" w:ascii="仿宋_GB2312" w:eastAsia="仿宋_GB2312"/>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六、年初结转和结余：</w:t>
      </w:r>
      <w:r>
        <w:rPr>
          <w:rFonts w:hint="eastAsia" w:ascii="仿宋_GB2312" w:eastAsia="仿宋_GB2312"/>
          <w:sz w:val="32"/>
          <w:szCs w:val="32"/>
        </w:rPr>
        <w:t>指以前年度尚未完成、结转到本年按有关规定继续使用的资金。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七、结余分配：</w:t>
      </w:r>
      <w:r>
        <w:rPr>
          <w:rFonts w:hint="eastAsia" w:ascii="仿宋_GB2312" w:eastAsia="仿宋_GB2312"/>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九、基本支出：</w:t>
      </w:r>
      <w:r>
        <w:rPr>
          <w:rFonts w:hint="eastAsia" w:ascii="仿宋_GB2312" w:eastAsia="仿宋_GB2312"/>
          <w:sz w:val="32"/>
          <w:szCs w:val="32"/>
        </w:rPr>
        <w:t>指为保障机构正常运转、完成日常工作任务面发生的人员支出和公用支出。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十、项目支出：</w:t>
      </w:r>
      <w:r>
        <w:rPr>
          <w:rFonts w:hint="eastAsia" w:ascii="仿宋_GB2312" w:eastAsia="仿宋_GB2312"/>
          <w:sz w:val="32"/>
          <w:szCs w:val="32"/>
        </w:rPr>
        <w:t>指在基本支出这外为完成特定行政任务和事业发展目标所发生的支出。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十一、经营支出：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ind w:left="1" w:firstLine="630" w:firstLineChars="196"/>
        <w:rPr>
          <w:rFonts w:ascii="仿宋_GB2312" w:hAnsi="宋体" w:eastAsia="仿宋_GB2312" w:cs="宋体"/>
          <w:kern w:val="0"/>
          <w:sz w:val="32"/>
          <w:szCs w:val="32"/>
        </w:rPr>
      </w:pPr>
      <w:r>
        <w:rPr>
          <w:rFonts w:hint="eastAsia" w:ascii="仿宋_GB2312" w:eastAsia="仿宋_GB2312"/>
          <w:b/>
          <w:sz w:val="32"/>
          <w:szCs w:val="32"/>
        </w:rPr>
        <w:t>十二、“三公”经费：</w:t>
      </w:r>
      <w:r>
        <w:rPr>
          <w:rFonts w:hint="eastAsia" w:ascii="仿宋_GB2312" w:hAnsi="宋体" w:eastAsia="仿宋_GB2312" w:cs="宋体"/>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十三、机关运行经费：</w:t>
      </w:r>
      <w:r>
        <w:rPr>
          <w:rFonts w:hint="eastAsia" w:ascii="仿宋_GB2312" w:eastAsia="仿宋_GB2312"/>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1129D5"/>
    <w:multiLevelType w:val="singleLevel"/>
    <w:tmpl w:val="501129D5"/>
    <w:lvl w:ilvl="0" w:tentative="0">
      <w:start w:val="1"/>
      <w:numFmt w:val="chineseCounting"/>
      <w:suff w:val="nothing"/>
      <w:lvlText w:val="（%1）"/>
      <w:lvlJc w:val="left"/>
      <w:rPr>
        <w:rFonts w:hint="eastAsia"/>
      </w:rPr>
    </w:lvl>
  </w:abstractNum>
  <w:abstractNum w:abstractNumId="1">
    <w:nsid w:val="58FCCCF3"/>
    <w:multiLevelType w:val="singleLevel"/>
    <w:tmpl w:val="58FCCCF3"/>
    <w:lvl w:ilvl="0" w:tentative="0">
      <w:start w:val="1"/>
      <w:numFmt w:val="decimal"/>
      <w:lvlText w:val="%1."/>
      <w:lvlJc w:val="left"/>
      <w:pPr>
        <w:tabs>
          <w:tab w:val="left" w:pos="312"/>
        </w:tabs>
      </w:pPr>
    </w:lvl>
  </w:abstractNum>
  <w:abstractNum w:abstractNumId="2">
    <w:nsid w:val="5A5F50C1"/>
    <w:multiLevelType w:val="singleLevel"/>
    <w:tmpl w:val="5A5F50C1"/>
    <w:lvl w:ilvl="0" w:tentative="0">
      <w:start w:val="1"/>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80D0C"/>
    <w:rsid w:val="00172666"/>
    <w:rsid w:val="01F5307B"/>
    <w:rsid w:val="068E7F6C"/>
    <w:rsid w:val="0A2E1B5A"/>
    <w:rsid w:val="0E007E11"/>
    <w:rsid w:val="10394314"/>
    <w:rsid w:val="10CC5E2B"/>
    <w:rsid w:val="130968D8"/>
    <w:rsid w:val="132D33C6"/>
    <w:rsid w:val="13CC5CF7"/>
    <w:rsid w:val="142107E9"/>
    <w:rsid w:val="15745A68"/>
    <w:rsid w:val="18E75860"/>
    <w:rsid w:val="1DD726FC"/>
    <w:rsid w:val="25047AAD"/>
    <w:rsid w:val="263C0CBA"/>
    <w:rsid w:val="280F1BD8"/>
    <w:rsid w:val="2AB54B5A"/>
    <w:rsid w:val="2AB958E7"/>
    <w:rsid w:val="2F4B7BFD"/>
    <w:rsid w:val="35A8365E"/>
    <w:rsid w:val="38F206E3"/>
    <w:rsid w:val="397E3509"/>
    <w:rsid w:val="3AA5189E"/>
    <w:rsid w:val="3B5B3F29"/>
    <w:rsid w:val="3F280D0C"/>
    <w:rsid w:val="3FAC1C39"/>
    <w:rsid w:val="46C9720E"/>
    <w:rsid w:val="47757768"/>
    <w:rsid w:val="49F13099"/>
    <w:rsid w:val="4F897888"/>
    <w:rsid w:val="4FCB4238"/>
    <w:rsid w:val="50132C2D"/>
    <w:rsid w:val="54BD2388"/>
    <w:rsid w:val="55F46AD9"/>
    <w:rsid w:val="5DC34EBD"/>
    <w:rsid w:val="5DC847D4"/>
    <w:rsid w:val="5DF0179E"/>
    <w:rsid w:val="635971FD"/>
    <w:rsid w:val="63AD7137"/>
    <w:rsid w:val="676C6DEE"/>
    <w:rsid w:val="6AAA5106"/>
    <w:rsid w:val="6B28545F"/>
    <w:rsid w:val="6D8030CE"/>
    <w:rsid w:val="6F78180B"/>
    <w:rsid w:val="740B3581"/>
    <w:rsid w:val="76D76D2C"/>
    <w:rsid w:val="77900BA6"/>
    <w:rsid w:val="78C95588"/>
    <w:rsid w:val="7BE84009"/>
    <w:rsid w:val="7C8E5CB0"/>
    <w:rsid w:val="7F664B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182</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2018-07-26T02:07:00Z</dcterms:created>
  <dc:creator>admin</dc:creator>
  <cp:lastModifiedBy>admin</cp:lastModifiedBy>
  <dcterms:modified xsi:type="dcterms:W3CDTF">2018-07-26T06:31:52Z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