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华文中宋" w:hAnsi="华文中宋" w:eastAsia="华文中宋"/>
          <w:sz w:val="44"/>
          <w:szCs w:val="44"/>
        </w:rPr>
      </w:pPr>
      <w:r>
        <w:rPr>
          <w:rFonts w:hint="eastAsia" w:ascii="华文中宋" w:hAnsi="华文中宋" w:eastAsia="华文中宋"/>
          <w:sz w:val="44"/>
          <w:szCs w:val="44"/>
        </w:rPr>
        <w:t>《汕头市经济和信息化局</w:t>
      </w:r>
      <w:r>
        <w:rPr>
          <w:rFonts w:ascii="华文中宋" w:hAnsi="华文中宋" w:eastAsia="华文中宋"/>
          <w:sz w:val="44"/>
          <w:szCs w:val="44"/>
        </w:rPr>
        <w:t xml:space="preserve"> </w:t>
      </w:r>
      <w:r>
        <w:rPr>
          <w:rFonts w:hint="eastAsia" w:ascii="华文中宋" w:hAnsi="华文中宋" w:eastAsia="华文中宋"/>
          <w:sz w:val="44"/>
          <w:szCs w:val="44"/>
        </w:rPr>
        <w:t>汕头市财政局</w:t>
      </w:r>
    </w:p>
    <w:p>
      <w:pPr>
        <w:spacing w:line="640" w:lineRule="exact"/>
        <w:jc w:val="center"/>
        <w:rPr>
          <w:rFonts w:ascii="华文中宋" w:hAnsi="华文中宋" w:eastAsia="华文中宋"/>
          <w:sz w:val="44"/>
          <w:szCs w:val="44"/>
        </w:rPr>
      </w:pPr>
      <w:r>
        <w:rPr>
          <w:rFonts w:hint="eastAsia" w:ascii="华文中宋" w:hAnsi="华文中宋" w:eastAsia="华文中宋"/>
          <w:sz w:val="44"/>
          <w:szCs w:val="44"/>
        </w:rPr>
        <w:t>关于中小微企业信贷风险补偿资金</w:t>
      </w:r>
    </w:p>
    <w:p>
      <w:pPr>
        <w:spacing w:line="640" w:lineRule="exact"/>
        <w:jc w:val="center"/>
        <w:rPr>
          <w:rFonts w:ascii="华文中宋" w:hAnsi="华文中宋" w:eastAsia="华文中宋"/>
          <w:sz w:val="44"/>
          <w:szCs w:val="44"/>
        </w:rPr>
      </w:pPr>
      <w:r>
        <w:rPr>
          <w:rFonts w:hint="eastAsia" w:ascii="华文中宋" w:hAnsi="华文中宋" w:eastAsia="华文中宋"/>
          <w:sz w:val="44"/>
          <w:szCs w:val="44"/>
        </w:rPr>
        <w:t>管理办法》的解读</w:t>
      </w:r>
    </w:p>
    <w:p/>
    <w:p>
      <w:pPr>
        <w:jc w:val="center"/>
      </w:pPr>
      <w:bookmarkStart w:id="0" w:name="_GoBack"/>
      <w:bookmarkEnd w:id="0"/>
      <w:r>
        <w:pict>
          <v:group id="_x0000_s1026" o:spid="_x0000_s1026" o:spt="203" style="position:absolute;left:0pt;margin-left:15.75pt;margin-top:11.7pt;height:181.05pt;width:375pt;z-index:251651072;mso-width-relative:page;mso-height-relative:page;" coordorigin="2115,3645" coordsize="7500,3621">
            <o:lock v:ext="edit"/>
            <v:roundrect id="_x0000_s1027" o:spid="_x0000_s1027" o:spt="2" style="position:absolute;left:2115;top:3645;height:3621;width:7500;" fillcolor="#FABF8F" filled="t" stroked="t" coordsize="21600,21600" arcsize="0.166666666666667">
              <v:path/>
              <v:fill type="gradient" on="t" color2="#F79646" focus="50%" focussize="0,0"/>
              <v:stroke weight="1pt" color="#F79646"/>
              <v:imagedata o:title=""/>
              <o:lock v:ext="edit"/>
              <v:shadow on="t" type="perspective" color="#974706" offset="1pt,2pt" offset2="-3pt,-2pt"/>
              <v:textbox>
                <w:txbxContent>
                  <w:p>
                    <w:pPr>
                      <w:rPr>
                        <w:rFonts w:ascii="黑体" w:hAnsi="黑体" w:eastAsia="黑体"/>
                        <w:color w:val="0070C0"/>
                        <w:sz w:val="32"/>
                        <w:szCs w:val="32"/>
                      </w:rPr>
                    </w:pPr>
                    <w:r>
                      <w:rPr>
                        <w:rFonts w:hint="eastAsia" w:ascii="黑体" w:hAnsi="黑体" w:eastAsia="黑体"/>
                        <w:color w:val="0070C0"/>
                        <w:sz w:val="32"/>
                        <w:szCs w:val="32"/>
                      </w:rPr>
                      <w:t>《汕头市经济和信息化局</w:t>
                    </w:r>
                  </w:p>
                  <w:p>
                    <w:pPr>
                      <w:rPr>
                        <w:rFonts w:ascii="黑体" w:hAnsi="黑体" w:eastAsia="黑体"/>
                        <w:color w:val="0070C0"/>
                        <w:sz w:val="32"/>
                        <w:szCs w:val="32"/>
                      </w:rPr>
                    </w:pPr>
                    <w:r>
                      <w:rPr>
                        <w:rFonts w:hint="eastAsia" w:ascii="黑体" w:hAnsi="黑体" w:eastAsia="黑体"/>
                        <w:color w:val="0070C0"/>
                        <w:sz w:val="32"/>
                        <w:szCs w:val="32"/>
                      </w:rPr>
                      <w:t>汕头市财政局</w:t>
                    </w:r>
                  </w:p>
                  <w:p>
                    <w:pPr>
                      <w:rPr>
                        <w:rFonts w:ascii="黑体" w:hAnsi="黑体" w:eastAsia="黑体"/>
                        <w:color w:val="0070C0"/>
                        <w:sz w:val="32"/>
                        <w:szCs w:val="32"/>
                      </w:rPr>
                    </w:pPr>
                    <w:r>
                      <w:rPr>
                        <w:rFonts w:hint="eastAsia" w:ascii="黑体" w:hAnsi="黑体" w:eastAsia="黑体"/>
                        <w:color w:val="0070C0"/>
                        <w:sz w:val="32"/>
                        <w:szCs w:val="32"/>
                      </w:rPr>
                      <w:t>关于中小微企业</w:t>
                    </w:r>
                  </w:p>
                  <w:p>
                    <w:pPr>
                      <w:rPr>
                        <w:rFonts w:ascii="黑体" w:hAnsi="黑体" w:eastAsia="黑体"/>
                        <w:color w:val="0070C0"/>
                        <w:sz w:val="32"/>
                        <w:szCs w:val="32"/>
                      </w:rPr>
                    </w:pPr>
                    <w:r>
                      <w:rPr>
                        <w:rFonts w:hint="eastAsia" w:ascii="黑体" w:hAnsi="黑体" w:eastAsia="黑体"/>
                        <w:color w:val="0070C0"/>
                        <w:sz w:val="32"/>
                        <w:szCs w:val="32"/>
                      </w:rPr>
                      <w:t>信贷风险补偿</w:t>
                    </w:r>
                  </w:p>
                  <w:p>
                    <w:pPr>
                      <w:rPr>
                        <w:rFonts w:ascii="黑体" w:hAnsi="黑体" w:eastAsia="黑体"/>
                        <w:color w:val="0070C0"/>
                      </w:rPr>
                    </w:pPr>
                    <w:r>
                      <w:rPr>
                        <w:rFonts w:hint="eastAsia" w:ascii="黑体" w:hAnsi="黑体" w:eastAsia="黑体"/>
                        <w:color w:val="0070C0"/>
                        <w:sz w:val="32"/>
                        <w:szCs w:val="32"/>
                      </w:rPr>
                      <w:t>资金管理办法》</w:t>
                    </w:r>
                  </w:p>
                </w:txbxContent>
              </v:textbox>
            </v:roundrect>
            <v:rect id="_x0000_s1028" o:spid="_x0000_s1028" o:spt="1" style="position:absolute;left:6150;top:4281;height:2580;width:2910;" coordsize="21600,21600">
              <v:path/>
              <v:fill focussize="0,0"/>
              <v:stroke/>
              <v:imagedata o:title=""/>
              <o:lock v:ext="edit"/>
              <v:textbox>
                <w:txbxContent>
                  <w:p>
                    <w:pPr>
                      <w:jc w:val="center"/>
                    </w:pPr>
                    <w:r>
                      <w:drawing>
                        <wp:inline distT="0" distB="0" distL="0" distR="0">
                          <wp:extent cx="1409700" cy="1504950"/>
                          <wp:effectExtent l="19050" t="0" r="0" b="0"/>
                          <wp:docPr id="2" name="图片 2" descr="011837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1183749.jpg"/>
                                  <pic:cNvPicPr>
                                    <a:picLocks noChangeAspect="1" noChangeArrowheads="1"/>
                                  </pic:cNvPicPr>
                                </pic:nvPicPr>
                                <pic:blipFill>
                                  <a:blip r:embed="rId5"/>
                                  <a:srcRect/>
                                  <a:stretch>
                                    <a:fillRect/>
                                  </a:stretch>
                                </pic:blipFill>
                                <pic:spPr>
                                  <a:xfrm>
                                    <a:off x="0" y="0"/>
                                    <a:ext cx="1409700" cy="1504950"/>
                                  </a:xfrm>
                                  <a:prstGeom prst="rect">
                                    <a:avLst/>
                                  </a:prstGeom>
                                  <a:noFill/>
                                  <a:ln w="9525">
                                    <a:noFill/>
                                    <a:miter lim="800000"/>
                                    <a:headEnd/>
                                    <a:tailEnd/>
                                  </a:ln>
                                </pic:spPr>
                              </pic:pic>
                            </a:graphicData>
                          </a:graphic>
                        </wp:inline>
                      </w:drawing>
                    </w:r>
                  </w:p>
                </w:txbxContent>
              </v:textbox>
            </v:rect>
          </v:group>
        </w:pict>
      </w:r>
    </w:p>
    <w:p/>
    <w:p/>
    <w:p/>
    <w:p/>
    <w:p>
      <w:r>
        <w:pict>
          <v:rect id="_x0000_s1029" o:spid="_x0000_s1029" o:spt="1" style="position:absolute;left:0pt;margin-left:242.1pt;margin-top:3.45pt;height:40.5pt;width:93.75pt;z-index:251652096;mso-width-relative:page;mso-height-relative:page;" stroked="f" coordsize="21600,21600">
            <v:path/>
            <v:fill focussize="0,0"/>
            <v:stroke on="f"/>
            <v:imagedata o:title=""/>
            <o:lock v:ext="edit"/>
            <v:textbox>
              <w:txbxContent>
                <w:p>
                  <w:pPr>
                    <w:jc w:val="center"/>
                    <w:rPr>
                      <w:rFonts w:ascii="黑体" w:hAnsi="黑体" w:eastAsia="黑体"/>
                      <w:color w:val="0070C0"/>
                      <w:sz w:val="44"/>
                      <w:szCs w:val="44"/>
                    </w:rPr>
                  </w:pPr>
                  <w:r>
                    <w:rPr>
                      <w:rFonts w:hint="eastAsia" w:ascii="黑体" w:hAnsi="黑体" w:eastAsia="黑体"/>
                      <w:color w:val="0070C0"/>
                      <w:sz w:val="44"/>
                      <w:szCs w:val="44"/>
                    </w:rPr>
                    <w:t>解读</w:t>
                  </w:r>
                </w:p>
              </w:txbxContent>
            </v:textbox>
          </v:rect>
        </w:pict>
      </w:r>
    </w:p>
    <w:p/>
    <w:p/>
    <w:p/>
    <w:p/>
    <w:p/>
    <w:p/>
    <w:p/>
    <w:p/>
    <w:p>
      <w:r>
        <w:pict>
          <v:shape id="_x0000_s1030" o:spid="_x0000_s1030" o:spt="62" type="#_x0000_t62" style="position:absolute;left:0pt;margin-left:112.5pt;margin-top:1.8pt;height:46.5pt;width:162.75pt;z-index:251653120;mso-width-relative:page;mso-height-relative:page;" fillcolor="#F79646" filled="t" stroked="t" coordsize="21600,21600" adj="11195,28080">
            <v:path/>
            <v:fill on="t" focussize="0,0"/>
            <v:stroke weight="3pt" color="#F2F2F2" joinstyle="miter"/>
            <v:imagedata o:title=""/>
            <o:lock v:ext="edit"/>
            <v:shadow on="t" type="perspective" color="#974706" opacity="32768f" offset="1pt,2pt" offset2="-1pt,-2pt"/>
            <v:textbox>
              <w:txbxContent>
                <w:p>
                  <w:pPr>
                    <w:jc w:val="center"/>
                    <w:rPr>
                      <w:rFonts w:ascii="黑体" w:hAnsi="黑体" w:eastAsia="黑体"/>
                      <w:color w:val="0070C0"/>
                      <w:sz w:val="32"/>
                      <w:szCs w:val="32"/>
                    </w:rPr>
                  </w:pPr>
                  <w:r>
                    <w:rPr>
                      <w:rFonts w:hint="eastAsia" w:ascii="黑体" w:hAnsi="黑体" w:eastAsia="黑体"/>
                      <w:color w:val="0070C0"/>
                      <w:sz w:val="32"/>
                      <w:szCs w:val="32"/>
                    </w:rPr>
                    <w:t>制定目的及背景</w:t>
                  </w:r>
                </w:p>
              </w:txbxContent>
            </v:textbox>
          </v:shape>
        </w:pict>
      </w:r>
    </w:p>
    <w:p/>
    <w:p/>
    <w:p/>
    <w:p/>
    <w:p>
      <w:r>
        <w:pict>
          <v:roundrect id="_x0000_s1031" o:spid="_x0000_s1031" o:spt="2" style="position:absolute;left:0pt;margin-left:9.75pt;margin-top:10pt;height:190.5pt;width:429.75pt;z-index:251654144;mso-width-relative:page;mso-height-relative:page;" stroked="t" coordsize="21600,21600" arcsize="0.166666666666667">
            <v:path/>
            <v:fill focussize="0,0"/>
            <v:stroke weight="1pt" color="#F79646" dashstyle="dash"/>
            <v:imagedata o:title=""/>
            <o:lock v:ext="edit"/>
            <v:textbox>
              <w:txbxContent>
                <w:p>
                  <w:pPr>
                    <w:spacing w:line="460" w:lineRule="exact"/>
                    <w:rPr>
                      <w:sz w:val="28"/>
                      <w:szCs w:val="28"/>
                    </w:rPr>
                  </w:pPr>
                  <w:r>
                    <w:rPr>
                      <w:rFonts w:hint="eastAsia" w:ascii="仿宋_GB2312" w:hAnsi="Times New Roman" w:eastAsia="仿宋_GB2312" w:cs="文星仿宋"/>
                      <w:color w:val="000000"/>
                      <w:sz w:val="28"/>
                      <w:szCs w:val="28"/>
                    </w:rPr>
                    <w:t>为进一步完善我市中小微企业融资风险分担机制，充分发挥财政资金的杠杆效应和导向作用，</w:t>
                  </w:r>
                  <w:r>
                    <w:rPr>
                      <w:rFonts w:hint="eastAsia" w:ascii="仿宋_GB2312" w:eastAsia="仿宋_GB2312"/>
                      <w:sz w:val="28"/>
                      <w:szCs w:val="28"/>
                    </w:rPr>
                    <w:t>《汕头市中小微企业信贷风险补偿资金管理暂行办法》（以下称《暂行办法》）自</w:t>
                  </w:r>
                  <w:r>
                    <w:rPr>
                      <w:rFonts w:ascii="仿宋_GB2312" w:eastAsia="仿宋_GB2312"/>
                      <w:sz w:val="28"/>
                      <w:szCs w:val="28"/>
                    </w:rPr>
                    <w:t>2016</w:t>
                  </w:r>
                  <w:r>
                    <w:rPr>
                      <w:rFonts w:hint="eastAsia" w:ascii="仿宋_GB2312" w:eastAsia="仿宋_GB2312"/>
                      <w:sz w:val="28"/>
                      <w:szCs w:val="28"/>
                    </w:rPr>
                    <w:t>年</w:t>
                  </w:r>
                  <w:r>
                    <w:rPr>
                      <w:rFonts w:ascii="仿宋_GB2312" w:eastAsia="仿宋_GB2312"/>
                      <w:sz w:val="28"/>
                      <w:szCs w:val="28"/>
                    </w:rPr>
                    <w:t>7</w:t>
                  </w:r>
                  <w:r>
                    <w:rPr>
                      <w:rFonts w:hint="eastAsia" w:ascii="仿宋_GB2312" w:eastAsia="仿宋_GB2312"/>
                      <w:sz w:val="28"/>
                      <w:szCs w:val="28"/>
                    </w:rPr>
                    <w:t>月</w:t>
                  </w:r>
                  <w:r>
                    <w:rPr>
                      <w:rFonts w:ascii="仿宋_GB2312" w:eastAsia="仿宋_GB2312"/>
                      <w:sz w:val="28"/>
                      <w:szCs w:val="28"/>
                    </w:rPr>
                    <w:t>1</w:t>
                  </w:r>
                  <w:r>
                    <w:rPr>
                      <w:rFonts w:hint="eastAsia" w:ascii="仿宋_GB2312" w:eastAsia="仿宋_GB2312"/>
                      <w:sz w:val="28"/>
                      <w:szCs w:val="28"/>
                    </w:rPr>
                    <w:t>日起实施，将于今年</w:t>
                  </w:r>
                  <w:r>
                    <w:rPr>
                      <w:rFonts w:ascii="仿宋_GB2312" w:eastAsia="仿宋_GB2312"/>
                      <w:sz w:val="28"/>
                      <w:szCs w:val="28"/>
                    </w:rPr>
                    <w:t>6</w:t>
                  </w:r>
                  <w:r>
                    <w:rPr>
                      <w:rFonts w:hint="eastAsia" w:ascii="仿宋_GB2312" w:eastAsia="仿宋_GB2312"/>
                      <w:sz w:val="28"/>
                      <w:szCs w:val="28"/>
                    </w:rPr>
                    <w:t>月</w:t>
                  </w:r>
                  <w:r>
                    <w:rPr>
                      <w:rFonts w:ascii="仿宋_GB2312" w:eastAsia="仿宋_GB2312"/>
                      <w:sz w:val="28"/>
                      <w:szCs w:val="28"/>
                    </w:rPr>
                    <w:t>30</w:t>
                  </w:r>
                  <w:r>
                    <w:rPr>
                      <w:rFonts w:hint="eastAsia" w:ascii="仿宋_GB2312" w:eastAsia="仿宋_GB2312"/>
                      <w:sz w:val="28"/>
                      <w:szCs w:val="28"/>
                    </w:rPr>
                    <w:t>日试行期满。根据《汕头经济特区行政机关规范性文件管理规定》要求，</w:t>
                  </w:r>
                  <w:r>
                    <w:rPr>
                      <w:rFonts w:hint="eastAsia" w:ascii="仿宋_GB2312" w:hAnsi="Times New Roman" w:eastAsia="仿宋_GB2312" w:cs="文星仿宋"/>
                      <w:color w:val="000000"/>
                      <w:sz w:val="28"/>
                      <w:szCs w:val="28"/>
                    </w:rPr>
                    <w:t>为加强</w:t>
                  </w:r>
                  <w:r>
                    <w:rPr>
                      <w:rFonts w:hint="eastAsia" w:ascii="仿宋_GB2312" w:eastAsia="仿宋_GB2312" w:cs="文星仿宋"/>
                      <w:color w:val="000000"/>
                      <w:sz w:val="28"/>
                      <w:szCs w:val="28"/>
                    </w:rPr>
                    <w:t>信贷风险补偿资金管理，</w:t>
                  </w:r>
                  <w:r>
                    <w:rPr>
                      <w:rFonts w:hint="eastAsia" w:ascii="仿宋_GB2312" w:eastAsia="仿宋_GB2312"/>
                      <w:sz w:val="28"/>
                      <w:szCs w:val="28"/>
                    </w:rPr>
                    <w:t>我局开展《暂行办法》评估工作和修改完善工作。</w:t>
                  </w:r>
                  <w:r>
                    <w:rPr>
                      <w:rFonts w:hint="eastAsia" w:ascii="仿宋_GB2312" w:eastAsia="仿宋_GB2312" w:cs="文星仿宋"/>
                      <w:color w:val="000000"/>
                      <w:sz w:val="28"/>
                      <w:szCs w:val="28"/>
                    </w:rPr>
                    <w:t>根据国家、省相关文件要求，结合汕头实际，</w:t>
                  </w:r>
                  <w:r>
                    <w:rPr>
                      <w:rFonts w:hint="eastAsia" w:ascii="仿宋_GB2312" w:hAnsi="Times New Roman" w:eastAsia="仿宋_GB2312" w:cs="文星仿宋"/>
                      <w:color w:val="000000"/>
                      <w:sz w:val="28"/>
                      <w:szCs w:val="28"/>
                    </w:rPr>
                    <w:t>制订本管理办法。</w:t>
                  </w:r>
                </w:p>
              </w:txbxContent>
            </v:textbox>
          </v:roundrect>
        </w:pict>
      </w:r>
    </w:p>
    <w:p/>
    <w:p/>
    <w:p/>
    <w:p/>
    <w:p/>
    <w:p/>
    <w:p/>
    <w:p/>
    <w:p/>
    <w:p/>
    <w:p/>
    <w:p/>
    <w:p/>
    <w:p/>
    <w:p/>
    <w:p>
      <w:r>
        <w:pict>
          <v:shape id="_x0000_s1032" o:spid="_x0000_s1032" o:spt="62" type="#_x0000_t62" style="position:absolute;left:0pt;margin-left:117.75pt;margin-top:3pt;height:46.5pt;width:162.75pt;z-index:251655168;mso-width-relative:page;mso-height-relative:page;" fillcolor="#F79646" filled="t" stroked="t" coordsize="21600,21600" adj="11195,28080">
            <v:path/>
            <v:fill on="t" focussize="0,0"/>
            <v:stroke weight="3pt" color="#F2F2F2" joinstyle="miter"/>
            <v:imagedata o:title=""/>
            <o:lock v:ext="edit"/>
            <v:shadow on="t" type="perspective" color="#974706" opacity="32768f" offset="1pt,2pt" offset2="-1pt,-2pt"/>
            <v:textbox>
              <w:txbxContent>
                <w:p>
                  <w:pPr>
                    <w:jc w:val="center"/>
                    <w:rPr>
                      <w:rFonts w:ascii="黑体" w:hAnsi="黑体" w:eastAsia="黑体"/>
                      <w:color w:val="0070C0"/>
                      <w:sz w:val="32"/>
                      <w:szCs w:val="32"/>
                    </w:rPr>
                  </w:pPr>
                  <w:r>
                    <w:rPr>
                      <w:rFonts w:hint="eastAsia" w:ascii="黑体" w:hAnsi="黑体" w:eastAsia="黑体"/>
                      <w:color w:val="0070C0"/>
                      <w:sz w:val="32"/>
                      <w:szCs w:val="32"/>
                    </w:rPr>
                    <w:t>制定依据</w:t>
                  </w:r>
                </w:p>
              </w:txbxContent>
            </v:textbox>
          </v:shape>
        </w:pict>
      </w:r>
    </w:p>
    <w:p/>
    <w:p/>
    <w:p/>
    <w:p>
      <w:r>
        <w:pict>
          <v:roundrect id="_x0000_s1033" o:spid="_x0000_s1033" o:spt="2" style="position:absolute;left:0pt;margin-left:2.25pt;margin-top:8.25pt;height:270.75pt;width:417pt;z-index:251656192;mso-width-relative:page;mso-height-relative:page;" stroked="t" coordsize="21600,21600" arcsize="0.166666666666667">
            <v:path/>
            <v:fill focussize="0,0"/>
            <v:stroke weight="1pt" color="#F79646" dashstyle="dash"/>
            <v:imagedata o:title=""/>
            <o:lock v:ext="edit"/>
            <v:textbox>
              <w:txbxContent>
                <w:p>
                  <w:pPr>
                    <w:spacing w:line="460" w:lineRule="exact"/>
                    <w:rPr>
                      <w:rFonts w:ascii="仿宋_GB2312" w:hAnsi="黑体" w:eastAsia="仿宋_GB2312" w:cs="文星仿宋"/>
                      <w:bCs/>
                      <w:color w:val="000000"/>
                      <w:sz w:val="28"/>
                      <w:szCs w:val="28"/>
                    </w:rPr>
                  </w:pPr>
                  <w:r>
                    <w:rPr>
                      <w:rFonts w:ascii="仿宋_GB2312" w:hAnsi="黑体" w:eastAsia="仿宋_GB2312" w:cs="文星仿宋"/>
                      <w:bCs/>
                      <w:color w:val="000000"/>
                      <w:sz w:val="28"/>
                      <w:szCs w:val="28"/>
                    </w:rPr>
                    <w:t>1.</w:t>
                  </w:r>
                  <w:r>
                    <w:rPr>
                      <w:rFonts w:hint="eastAsia" w:ascii="仿宋_GB2312" w:hAnsi="黑体" w:eastAsia="仿宋_GB2312" w:cs="文星仿宋"/>
                      <w:bCs/>
                      <w:color w:val="000000"/>
                      <w:sz w:val="28"/>
                      <w:szCs w:val="28"/>
                    </w:rPr>
                    <w:t>市政府常务会议决定事项通知（汕府办会函〔</w:t>
                  </w:r>
                  <w:r>
                    <w:rPr>
                      <w:rFonts w:ascii="仿宋_GB2312" w:hAnsi="黑体" w:eastAsia="仿宋_GB2312" w:cs="文星仿宋"/>
                      <w:bCs/>
                      <w:color w:val="000000"/>
                      <w:sz w:val="28"/>
                      <w:szCs w:val="28"/>
                    </w:rPr>
                    <w:t>2015</w:t>
                  </w:r>
                  <w:r>
                    <w:rPr>
                      <w:rFonts w:hint="eastAsia" w:ascii="仿宋_GB2312" w:hAnsi="黑体" w:eastAsia="仿宋_GB2312" w:cs="文星仿宋"/>
                      <w:bCs/>
                      <w:color w:val="000000"/>
                      <w:sz w:val="28"/>
                      <w:szCs w:val="28"/>
                    </w:rPr>
                    <w:t>〕</w:t>
                  </w:r>
                </w:p>
                <w:p>
                  <w:pPr>
                    <w:spacing w:line="460" w:lineRule="exact"/>
                    <w:rPr>
                      <w:rFonts w:ascii="仿宋_GB2312" w:hAnsi="黑体" w:eastAsia="仿宋_GB2312" w:cs="文星仿宋"/>
                      <w:bCs/>
                      <w:color w:val="000000"/>
                      <w:sz w:val="28"/>
                      <w:szCs w:val="28"/>
                    </w:rPr>
                  </w:pPr>
                  <w:r>
                    <w:rPr>
                      <w:rFonts w:ascii="仿宋_GB2312" w:hAnsi="黑体" w:eastAsia="仿宋_GB2312" w:cs="文星仿宋"/>
                      <w:bCs/>
                      <w:color w:val="000000"/>
                      <w:sz w:val="28"/>
                      <w:szCs w:val="28"/>
                    </w:rPr>
                    <w:t>7108</w:t>
                  </w:r>
                  <w:r>
                    <w:rPr>
                      <w:rFonts w:hint="eastAsia" w:ascii="仿宋_GB2312" w:hAnsi="黑体" w:eastAsia="仿宋_GB2312" w:cs="文星仿宋"/>
                      <w:bCs/>
                      <w:color w:val="000000"/>
                      <w:sz w:val="28"/>
                      <w:szCs w:val="28"/>
                    </w:rPr>
                    <w:t>号）</w:t>
                  </w:r>
                </w:p>
                <w:p>
                  <w:pPr>
                    <w:spacing w:line="460" w:lineRule="exact"/>
                    <w:rPr>
                      <w:rFonts w:ascii="仿宋_GB2312" w:hAnsi="黑体" w:eastAsia="仿宋_GB2312" w:cs="文星仿宋"/>
                      <w:bCs/>
                      <w:sz w:val="28"/>
                      <w:szCs w:val="28"/>
                    </w:rPr>
                  </w:pPr>
                  <w:r>
                    <w:rPr>
                      <w:rFonts w:ascii="仿宋_GB2312" w:hAnsi="黑体" w:eastAsia="仿宋_GB2312" w:cs="文星仿宋"/>
                      <w:bCs/>
                      <w:sz w:val="28"/>
                      <w:szCs w:val="28"/>
                    </w:rPr>
                    <w:t>2.</w:t>
                  </w:r>
                  <w:r>
                    <w:rPr>
                      <w:rFonts w:hint="eastAsia" w:ascii="仿宋_GB2312" w:hAnsi="黑体" w:eastAsia="仿宋_GB2312" w:cs="文星仿宋"/>
                      <w:bCs/>
                      <w:sz w:val="28"/>
                      <w:szCs w:val="28"/>
                    </w:rPr>
                    <w:t>中华人民共和国商业银行法</w:t>
                  </w:r>
                </w:p>
                <w:p>
                  <w:pPr>
                    <w:spacing w:line="460" w:lineRule="exact"/>
                    <w:rPr>
                      <w:rFonts w:ascii="仿宋_GB2312" w:hAnsi="黑体" w:eastAsia="仿宋_GB2312" w:cs="文星仿宋"/>
                      <w:bCs/>
                      <w:color w:val="000000"/>
                      <w:sz w:val="28"/>
                      <w:szCs w:val="28"/>
                    </w:rPr>
                  </w:pPr>
                  <w:r>
                    <w:rPr>
                      <w:rFonts w:ascii="仿宋_GB2312" w:hAnsi="黑体" w:eastAsia="仿宋_GB2312" w:cs="文星仿宋"/>
                      <w:bCs/>
                      <w:sz w:val="28"/>
                      <w:szCs w:val="28"/>
                    </w:rPr>
                    <w:t>3.</w:t>
                  </w:r>
                  <w:r>
                    <w:rPr>
                      <w:rFonts w:hint="eastAsia" w:ascii="仿宋_GB2312" w:hAnsi="黑体" w:eastAsia="仿宋_GB2312" w:cs="文星仿宋"/>
                      <w:bCs/>
                      <w:sz w:val="28"/>
                      <w:szCs w:val="28"/>
                    </w:rPr>
                    <w:t>广东省经济和信息化委</w:t>
                  </w:r>
                  <w:r>
                    <w:rPr>
                      <w:rFonts w:ascii="仿宋_GB2312" w:hAnsi="黑体" w:eastAsia="仿宋_GB2312" w:cs="文星仿宋"/>
                      <w:bCs/>
                      <w:sz w:val="28"/>
                      <w:szCs w:val="28"/>
                    </w:rPr>
                    <w:t xml:space="preserve"> </w:t>
                  </w:r>
                  <w:r>
                    <w:rPr>
                      <w:rFonts w:hint="eastAsia" w:ascii="仿宋_GB2312" w:hAnsi="黑体" w:eastAsia="仿宋_GB2312" w:cs="文星仿宋"/>
                      <w:bCs/>
                      <w:sz w:val="28"/>
                      <w:szCs w:val="28"/>
                    </w:rPr>
                    <w:t>广东省财政厅印发省级促进经济发展专项资金部分用途管理实</w:t>
                  </w:r>
                  <w:r>
                    <w:rPr>
                      <w:rFonts w:hint="eastAsia" w:ascii="仿宋_GB2312" w:hAnsi="黑体" w:eastAsia="仿宋_GB2312" w:cs="文星仿宋"/>
                      <w:bCs/>
                      <w:color w:val="000000"/>
                      <w:sz w:val="28"/>
                      <w:szCs w:val="28"/>
                    </w:rPr>
                    <w:t>施细则（试行）的通知（粤经信财务〔</w:t>
                  </w:r>
                  <w:r>
                    <w:rPr>
                      <w:rFonts w:ascii="仿宋_GB2312" w:hAnsi="黑体" w:eastAsia="仿宋_GB2312" w:cs="文星仿宋"/>
                      <w:bCs/>
                      <w:color w:val="000000"/>
                      <w:sz w:val="28"/>
                      <w:szCs w:val="28"/>
                    </w:rPr>
                    <w:t>2018</w:t>
                  </w:r>
                  <w:r>
                    <w:rPr>
                      <w:rFonts w:hint="eastAsia" w:ascii="仿宋_GB2312" w:hAnsi="黑体" w:eastAsia="仿宋_GB2312" w:cs="文星仿宋"/>
                      <w:bCs/>
                      <w:color w:val="000000"/>
                      <w:sz w:val="28"/>
                      <w:szCs w:val="28"/>
                    </w:rPr>
                    <w:t>〕</w:t>
                  </w:r>
                  <w:r>
                    <w:rPr>
                      <w:rFonts w:ascii="仿宋_GB2312" w:hAnsi="黑体" w:eastAsia="仿宋_GB2312" w:cs="文星仿宋"/>
                      <w:bCs/>
                      <w:color w:val="000000"/>
                      <w:sz w:val="28"/>
                      <w:szCs w:val="28"/>
                    </w:rPr>
                    <w:t>31</w:t>
                  </w:r>
                  <w:r>
                    <w:rPr>
                      <w:rFonts w:hint="eastAsia" w:ascii="仿宋_GB2312" w:hAnsi="黑体" w:eastAsia="仿宋_GB2312" w:cs="文星仿宋"/>
                      <w:bCs/>
                      <w:color w:val="000000"/>
                      <w:sz w:val="28"/>
                      <w:szCs w:val="28"/>
                    </w:rPr>
                    <w:t>号）</w:t>
                  </w:r>
                </w:p>
                <w:p>
                  <w:pPr>
                    <w:spacing w:line="460" w:lineRule="exact"/>
                    <w:rPr>
                      <w:rFonts w:ascii="仿宋_GB2312" w:hAnsi="黑体" w:eastAsia="仿宋_GB2312" w:cs="文星仿宋"/>
                      <w:bCs/>
                      <w:color w:val="000000"/>
                      <w:sz w:val="28"/>
                      <w:szCs w:val="28"/>
                    </w:rPr>
                  </w:pPr>
                  <w:r>
                    <w:rPr>
                      <w:rFonts w:ascii="仿宋_GB2312" w:hAnsi="黑体" w:eastAsia="仿宋_GB2312" w:cs="文星仿宋"/>
                      <w:bCs/>
                      <w:color w:val="000000"/>
                      <w:sz w:val="28"/>
                      <w:szCs w:val="28"/>
                    </w:rPr>
                    <w:t>4.</w:t>
                  </w:r>
                  <w:r>
                    <w:rPr>
                      <w:rFonts w:hint="eastAsia" w:ascii="仿宋_GB2312" w:hAnsi="黑体" w:eastAsia="仿宋_GB2312" w:cs="文星仿宋"/>
                      <w:bCs/>
                      <w:color w:val="000000"/>
                      <w:sz w:val="28"/>
                      <w:szCs w:val="28"/>
                    </w:rPr>
                    <w:t>关于印发汕头市设立中小微企业信贷风险补偿资金工作</w:t>
                  </w:r>
                </w:p>
                <w:p>
                  <w:pPr>
                    <w:spacing w:line="460" w:lineRule="exact"/>
                    <w:rPr>
                      <w:rFonts w:ascii="仿宋_GB2312" w:hAnsi="黑体" w:eastAsia="仿宋_GB2312" w:cs="文星仿宋"/>
                      <w:bCs/>
                      <w:color w:val="000000"/>
                      <w:sz w:val="28"/>
                      <w:szCs w:val="28"/>
                    </w:rPr>
                  </w:pPr>
                  <w:r>
                    <w:rPr>
                      <w:rFonts w:hint="eastAsia" w:ascii="仿宋_GB2312" w:hAnsi="黑体" w:eastAsia="仿宋_GB2312" w:cs="文星仿宋"/>
                      <w:bCs/>
                      <w:color w:val="000000"/>
                      <w:sz w:val="28"/>
                      <w:szCs w:val="28"/>
                    </w:rPr>
                    <w:t>方案的通知（汕经信〔</w:t>
                  </w:r>
                  <w:r>
                    <w:rPr>
                      <w:rFonts w:ascii="仿宋_GB2312" w:hAnsi="黑体" w:eastAsia="仿宋_GB2312" w:cs="文星仿宋"/>
                      <w:bCs/>
                      <w:color w:val="000000"/>
                      <w:sz w:val="28"/>
                      <w:szCs w:val="28"/>
                    </w:rPr>
                    <w:t>2016</w:t>
                  </w:r>
                  <w:r>
                    <w:rPr>
                      <w:rFonts w:hint="eastAsia" w:ascii="仿宋_GB2312" w:hAnsi="黑体" w:eastAsia="仿宋_GB2312" w:cs="文星仿宋"/>
                      <w:bCs/>
                      <w:color w:val="000000"/>
                      <w:sz w:val="28"/>
                      <w:szCs w:val="28"/>
                    </w:rPr>
                    <w:t>〕</w:t>
                  </w:r>
                  <w:r>
                    <w:rPr>
                      <w:rFonts w:ascii="仿宋_GB2312" w:hAnsi="黑体" w:eastAsia="仿宋_GB2312" w:cs="文星仿宋"/>
                      <w:bCs/>
                      <w:color w:val="000000"/>
                      <w:sz w:val="28"/>
                      <w:szCs w:val="28"/>
                    </w:rPr>
                    <w:t>87</w:t>
                  </w:r>
                  <w:r>
                    <w:rPr>
                      <w:rFonts w:hint="eastAsia" w:ascii="仿宋_GB2312" w:hAnsi="黑体" w:eastAsia="仿宋_GB2312" w:cs="文星仿宋"/>
                      <w:bCs/>
                      <w:color w:val="000000"/>
                      <w:sz w:val="28"/>
                      <w:szCs w:val="28"/>
                    </w:rPr>
                    <w:t>号）</w:t>
                  </w:r>
                </w:p>
                <w:p>
                  <w:pPr>
                    <w:spacing w:line="460" w:lineRule="exact"/>
                    <w:rPr>
                      <w:rFonts w:ascii="仿宋_GB2312" w:hAnsi="黑体" w:eastAsia="仿宋_GB2312" w:cs="文星仿宋"/>
                      <w:bCs/>
                      <w:color w:val="000000"/>
                      <w:sz w:val="28"/>
                      <w:szCs w:val="28"/>
                    </w:rPr>
                  </w:pPr>
                </w:p>
                <w:p>
                  <w:pPr>
                    <w:rPr>
                      <w:rFonts w:ascii="仿宋_GB2312" w:hAnsi="黑体" w:eastAsia="仿宋_GB2312" w:cs="文星仿宋"/>
                      <w:bCs/>
                      <w:color w:val="000000"/>
                      <w:sz w:val="28"/>
                      <w:szCs w:val="28"/>
                    </w:rPr>
                  </w:pPr>
                </w:p>
              </w:txbxContent>
            </v:textbox>
          </v:roundrect>
        </w:pict>
      </w:r>
    </w:p>
    <w:p/>
    <w:p/>
    <w:p/>
    <w:p/>
    <w:p/>
    <w:p/>
    <w:p/>
    <w:p/>
    <w:p/>
    <w:p/>
    <w:p/>
    <w:p/>
    <w:p/>
    <w:p/>
    <w:p/>
    <w:p/>
    <w:p/>
    <w:p>
      <w:r>
        <w:pict>
          <v:shape id="_x0000_s1034" o:spid="_x0000_s1034" o:spt="62" type="#_x0000_t62" style="position:absolute;left:0pt;margin-left:102pt;margin-top:10.2pt;height:46.5pt;width:162.75pt;z-index:251657216;mso-width-relative:page;mso-height-relative:page;" fillcolor="#F79646" filled="t" stroked="t" coordsize="21600,21600" adj="11195,28080">
            <v:path/>
            <v:fill on="t" focussize="0,0"/>
            <v:stroke weight="3pt" color="#F2F2F2" joinstyle="miter"/>
            <v:imagedata o:title=""/>
            <o:lock v:ext="edit"/>
            <v:shadow on="t" type="perspective" color="#974706" opacity="32768f" offset="1pt,2pt" offset2="-1pt,-2pt"/>
            <v:textbox>
              <w:txbxContent>
                <w:p>
                  <w:pPr>
                    <w:jc w:val="center"/>
                    <w:rPr>
                      <w:rFonts w:ascii="黑体" w:hAnsi="黑体" w:eastAsia="黑体"/>
                      <w:color w:val="0070C0"/>
                      <w:sz w:val="32"/>
                      <w:szCs w:val="32"/>
                    </w:rPr>
                  </w:pPr>
                  <w:r>
                    <w:rPr>
                      <w:rFonts w:hint="eastAsia" w:ascii="黑体" w:hAnsi="黑体" w:eastAsia="黑体"/>
                      <w:color w:val="0070C0"/>
                      <w:sz w:val="32"/>
                      <w:szCs w:val="32"/>
                    </w:rPr>
                    <w:t>主要内容</w:t>
                  </w:r>
                </w:p>
              </w:txbxContent>
            </v:textbox>
          </v:shape>
        </w:pict>
      </w:r>
    </w:p>
    <w:p/>
    <w:p/>
    <w:p/>
    <w:p>
      <w:r>
        <w:pict>
          <v:roundrect id="_x0000_s1035" o:spid="_x0000_s1035" o:spt="2" style="position:absolute;left:0pt;margin-left:-1.5pt;margin-top:14.55pt;height:252.6pt;width:417pt;z-index:251658240;mso-width-relative:page;mso-height-relative:page;" stroked="t" coordsize="21600,21600" arcsize="0.166666666666667">
            <v:path/>
            <v:fill focussize="0,0"/>
            <v:stroke weight="1pt" color="#F79646" dashstyle="dash"/>
            <v:imagedata o:title=""/>
            <o:lock v:ext="edit"/>
            <v:textbox>
              <w:txbxContent>
                <w:p>
                  <w:pPr>
                    <w:rPr>
                      <w:rFonts w:ascii="仿宋_GB2312" w:hAnsi="黑体" w:eastAsia="仿宋_GB2312" w:cs="文星仿宋"/>
                      <w:bCs/>
                      <w:color w:val="000000"/>
                      <w:sz w:val="28"/>
                      <w:szCs w:val="28"/>
                    </w:rPr>
                  </w:pPr>
                  <w:r>
                    <w:rPr>
                      <w:rFonts w:hint="eastAsia" w:ascii="仿宋_GB2312" w:hAnsi="黑体" w:eastAsia="仿宋_GB2312" w:cs="文星仿宋"/>
                      <w:bCs/>
                      <w:color w:val="000000"/>
                      <w:sz w:val="28"/>
                      <w:szCs w:val="28"/>
                    </w:rPr>
                    <w:t>管理办法共分八章，分别为：总则、职责分工、资金管理和政银合作、申贷企业的条件、贷款的办理、风险控制及代偿、监督管理、附则，明确信贷风险补偿资金管理机构及职责、资金来源及规模、企业申贷条件及程序、贷款办理程序、风险控制及代偿程序、资金的监督和管理等内容，建立资金使用管理制度、交流互通机制、风险防控机制、企业诚信机制、宣传推广机制，确保信贷风险补偿资金安全运行和专款专用。</w:t>
                  </w:r>
                </w:p>
              </w:txbxContent>
            </v:textbox>
          </v:roundrect>
        </w:pict>
      </w:r>
    </w:p>
    <w:p/>
    <w:p/>
    <w:p/>
    <w:p/>
    <w:p/>
    <w:p/>
    <w:p/>
    <w:p/>
    <w:p/>
    <w:p/>
    <w:p/>
    <w:p/>
    <w:p/>
    <w:p/>
    <w:p/>
    <w:p/>
    <w:p/>
    <w:p/>
    <w:p>
      <w:r>
        <w:pict>
          <v:shape id="_x0000_s1036" o:spid="_x0000_s1036" o:spt="62" type="#_x0000_t62" style="position:absolute;left:0pt;margin-left:88.5pt;margin-top:2.4pt;height:46.5pt;width:162.75pt;z-index:251659264;mso-width-relative:page;mso-height-relative:page;" fillcolor="#F79646" filled="t" stroked="t" coordsize="21600,21600" adj="11195,28080">
            <v:path/>
            <v:fill on="t" focussize="0,0"/>
            <v:stroke weight="3pt" color="#F2F2F2" joinstyle="miter"/>
            <v:imagedata o:title=""/>
            <o:lock v:ext="edit"/>
            <v:shadow on="t" type="perspective" color="#974706" opacity="32768f" offset="1pt,2pt" offset2="-1pt,-2pt"/>
            <v:textbox>
              <w:txbxContent>
                <w:p>
                  <w:pPr>
                    <w:jc w:val="center"/>
                    <w:rPr>
                      <w:rFonts w:ascii="黑体" w:hAnsi="黑体" w:eastAsia="黑体"/>
                      <w:color w:val="0070C0"/>
                      <w:sz w:val="32"/>
                      <w:szCs w:val="32"/>
                    </w:rPr>
                  </w:pPr>
                  <w:r>
                    <w:rPr>
                      <w:rFonts w:hint="eastAsia" w:ascii="黑体" w:hAnsi="黑体" w:eastAsia="黑体"/>
                      <w:color w:val="0070C0"/>
                      <w:sz w:val="32"/>
                      <w:szCs w:val="32"/>
                    </w:rPr>
                    <w:t>主要问题说明</w:t>
                  </w:r>
                </w:p>
              </w:txbxContent>
            </v:textbox>
          </v:shape>
        </w:pict>
      </w:r>
    </w:p>
    <w:p/>
    <w:p/>
    <w:p/>
    <w:p/>
    <w:p>
      <w:r>
        <w:pict>
          <v:roundrect id="_x0000_s1037" o:spid="_x0000_s1037" o:spt="2" style="position:absolute;left:0pt;margin-left:-8.25pt;margin-top:14.25pt;height:352.35pt;width:417pt;z-index:251660288;mso-width-relative:page;mso-height-relative:page;" stroked="t" coordsize="21600,21600" arcsize="0.166666666666667">
            <v:path/>
            <v:fill focussize="0,0"/>
            <v:stroke weight="1pt" color="#F79646" dashstyle="dash"/>
            <v:imagedata o:title=""/>
            <o:lock v:ext="edit"/>
            <v:textbox>
              <w:txbxContent>
                <w:p>
                  <w:pPr>
                    <w:rPr>
                      <w:rFonts w:ascii="仿宋_GB2312" w:hAnsi="黑体" w:eastAsia="仿宋_GB2312" w:cs="文星仿宋"/>
                      <w:bCs/>
                      <w:color w:val="000000"/>
                      <w:sz w:val="28"/>
                      <w:szCs w:val="28"/>
                    </w:rPr>
                  </w:pPr>
                  <w:r>
                    <w:rPr>
                      <w:rFonts w:hint="eastAsia" w:ascii="仿宋_GB2312" w:hAnsi="黑体" w:eastAsia="仿宋_GB2312" w:cs="文星仿宋"/>
                      <w:bCs/>
                      <w:color w:val="000000"/>
                      <w:sz w:val="28"/>
                      <w:szCs w:val="28"/>
                    </w:rPr>
                    <w:t>一、信贷风险的有什么好处？</w:t>
                  </w:r>
                </w:p>
                <w:p>
                  <w:pPr>
                    <w:rPr>
                      <w:rFonts w:ascii="仿宋_GB2312" w:hAnsi="黑体" w:eastAsia="仿宋_GB2312" w:cs="文星仿宋"/>
                      <w:bCs/>
                      <w:color w:val="000000"/>
                      <w:sz w:val="28"/>
                      <w:szCs w:val="28"/>
                    </w:rPr>
                  </w:pPr>
                  <w:r>
                    <w:rPr>
                      <w:rFonts w:hint="eastAsia" w:ascii="仿宋_GB2312" w:hAnsi="黑体" w:eastAsia="仿宋_GB2312" w:cs="文星仿宋"/>
                      <w:bCs/>
                      <w:color w:val="000000"/>
                      <w:sz w:val="28"/>
                      <w:szCs w:val="28"/>
                    </w:rPr>
                    <w:t>答：汕头市中小微企业信贷风险补偿资金（下称：信贷风险补偿资金），是指经市政府批准并按《汕头市设立中小微企业信贷风险补偿资金工作方案》设立的为企业增信、鼓励和促进银行业金融机构加大对本市中小微企业信贷支持力度的财政专项资金，专门用于为本市合作金融机构对符合申贷条件的企业提供贷款所产生的风险损失，按约定进行补偿。</w:t>
                  </w:r>
                </w:p>
                <w:p>
                  <w:pPr>
                    <w:rPr>
                      <w:rFonts w:ascii="仿宋_GB2312" w:hAnsi="黑体" w:eastAsia="仿宋_GB2312" w:cs="文星仿宋"/>
                      <w:bCs/>
                      <w:color w:val="000000"/>
                      <w:sz w:val="28"/>
                      <w:szCs w:val="28"/>
                    </w:rPr>
                  </w:pPr>
                  <w:r>
                    <w:rPr>
                      <w:rFonts w:hint="eastAsia" w:ascii="仿宋_GB2312" w:hAnsi="黑体" w:eastAsia="仿宋_GB2312" w:cs="文星仿宋"/>
                      <w:bCs/>
                      <w:color w:val="000000"/>
                      <w:sz w:val="28"/>
                      <w:szCs w:val="28"/>
                    </w:rPr>
                    <w:t>信贷风险补偿资金贷款有以下优势：</w:t>
                  </w:r>
                  <w:r>
                    <w:rPr>
                      <w:rFonts w:ascii="仿宋_GB2312" w:hAnsi="黑体" w:eastAsia="仿宋_GB2312" w:cs="文星仿宋"/>
                      <w:bCs/>
                      <w:color w:val="000000"/>
                      <w:sz w:val="28"/>
                      <w:szCs w:val="28"/>
                    </w:rPr>
                    <w:t>1.</w:t>
                  </w:r>
                  <w:r>
                    <w:rPr>
                      <w:rFonts w:hint="eastAsia" w:ascii="仿宋_GB2312" w:hAnsi="黑体" w:eastAsia="仿宋_GB2312" w:cs="文星仿宋"/>
                      <w:bCs/>
                      <w:color w:val="000000"/>
                      <w:sz w:val="28"/>
                      <w:szCs w:val="28"/>
                    </w:rPr>
                    <w:t>放大抵押物的抵押率</w:t>
                  </w:r>
                  <w:r>
                    <w:rPr>
                      <w:rFonts w:ascii="仿宋_GB2312" w:hAnsi="黑体" w:eastAsia="仿宋_GB2312" w:cs="文星仿宋"/>
                      <w:bCs/>
                      <w:color w:val="000000"/>
                      <w:sz w:val="28"/>
                      <w:szCs w:val="28"/>
                    </w:rPr>
                    <w:t>1</w:t>
                  </w:r>
                  <w:r>
                    <w:rPr>
                      <w:rFonts w:hint="eastAsia" w:ascii="仿宋_GB2312" w:hAnsi="黑体" w:eastAsia="仿宋_GB2312" w:cs="文星仿宋"/>
                      <w:bCs/>
                      <w:color w:val="000000"/>
                      <w:sz w:val="28"/>
                      <w:szCs w:val="28"/>
                    </w:rPr>
                    <w:t>至</w:t>
                  </w:r>
                  <w:r>
                    <w:rPr>
                      <w:rFonts w:ascii="仿宋_GB2312" w:hAnsi="黑体" w:eastAsia="仿宋_GB2312" w:cs="文星仿宋"/>
                      <w:bCs/>
                      <w:color w:val="000000"/>
                      <w:sz w:val="28"/>
                      <w:szCs w:val="28"/>
                    </w:rPr>
                    <w:t>2.5</w:t>
                  </w:r>
                  <w:r>
                    <w:rPr>
                      <w:rFonts w:hint="eastAsia" w:ascii="仿宋_GB2312" w:hAnsi="黑体" w:eastAsia="仿宋_GB2312" w:cs="文星仿宋"/>
                      <w:bCs/>
                      <w:color w:val="000000"/>
                      <w:sz w:val="28"/>
                      <w:szCs w:val="28"/>
                    </w:rPr>
                    <w:t>倍；</w:t>
                  </w:r>
                  <w:r>
                    <w:rPr>
                      <w:rFonts w:ascii="仿宋_GB2312" w:hAnsi="黑体" w:eastAsia="仿宋_GB2312" w:cs="文星仿宋"/>
                      <w:bCs/>
                      <w:color w:val="000000"/>
                      <w:sz w:val="28"/>
                      <w:szCs w:val="28"/>
                    </w:rPr>
                    <w:t>2.</w:t>
                  </w:r>
                  <w:r>
                    <w:rPr>
                      <w:rFonts w:hint="eastAsia" w:ascii="仿宋_GB2312" w:hAnsi="黑体" w:eastAsia="仿宋_GB2312" w:cs="文星仿宋"/>
                      <w:bCs/>
                      <w:color w:val="000000"/>
                      <w:sz w:val="28"/>
                      <w:szCs w:val="28"/>
                    </w:rPr>
                    <w:t>可以申请信用贷款，额度不超过</w:t>
                  </w:r>
                  <w:r>
                    <w:rPr>
                      <w:rFonts w:ascii="仿宋_GB2312" w:hAnsi="黑体" w:eastAsia="仿宋_GB2312" w:cs="文星仿宋"/>
                      <w:bCs/>
                      <w:color w:val="000000"/>
                      <w:sz w:val="28"/>
                      <w:szCs w:val="28"/>
                    </w:rPr>
                    <w:t>200</w:t>
                  </w:r>
                  <w:r>
                    <w:rPr>
                      <w:rFonts w:hint="eastAsia" w:ascii="仿宋_GB2312" w:hAnsi="黑体" w:eastAsia="仿宋_GB2312" w:cs="文星仿宋"/>
                      <w:bCs/>
                      <w:color w:val="000000"/>
                      <w:sz w:val="28"/>
                      <w:szCs w:val="28"/>
                    </w:rPr>
                    <w:t>万元；</w:t>
                  </w:r>
                  <w:r>
                    <w:rPr>
                      <w:rFonts w:ascii="仿宋_GB2312" w:hAnsi="黑体" w:eastAsia="仿宋_GB2312" w:cs="文星仿宋"/>
                      <w:bCs/>
                      <w:color w:val="000000"/>
                      <w:sz w:val="28"/>
                      <w:szCs w:val="28"/>
                    </w:rPr>
                    <w:t>3.</w:t>
                  </w:r>
                  <w:r>
                    <w:rPr>
                      <w:rFonts w:hint="eastAsia" w:ascii="仿宋_GB2312" w:hAnsi="黑体" w:eastAsia="仿宋_GB2312" w:cs="文星仿宋"/>
                      <w:bCs/>
                      <w:color w:val="000000"/>
                      <w:sz w:val="28"/>
                      <w:szCs w:val="28"/>
                    </w:rPr>
                    <w:t>贷款利率不超过基准利率</w:t>
                  </w:r>
                  <w:r>
                    <w:rPr>
                      <w:rFonts w:ascii="仿宋_GB2312" w:hAnsi="黑体" w:eastAsia="仿宋_GB2312" w:cs="文星仿宋"/>
                      <w:bCs/>
                      <w:color w:val="000000"/>
                      <w:sz w:val="28"/>
                      <w:szCs w:val="28"/>
                    </w:rPr>
                    <w:t>1.3</w:t>
                  </w:r>
                  <w:r>
                    <w:rPr>
                      <w:rFonts w:hint="eastAsia" w:ascii="仿宋_GB2312" w:hAnsi="黑体" w:eastAsia="仿宋_GB2312" w:cs="文星仿宋"/>
                      <w:bCs/>
                      <w:color w:val="000000"/>
                      <w:sz w:val="28"/>
                      <w:szCs w:val="28"/>
                    </w:rPr>
                    <w:t>倍。</w:t>
                  </w:r>
                </w:p>
              </w:txbxContent>
            </v:textbox>
          </v:roundrect>
        </w:pict>
      </w:r>
    </w:p>
    <w:p/>
    <w:p/>
    <w:p>
      <w:pPr>
        <w:jc w:val="center"/>
      </w:pPr>
    </w:p>
    <w:p/>
    <w:p/>
    <w:p/>
    <w:p/>
    <w:p/>
    <w:p/>
    <w:p/>
    <w:p/>
    <w:p/>
    <w:p/>
    <w:p/>
    <w:p/>
    <w:p/>
    <w:p/>
    <w:p/>
    <w:p/>
    <w:p/>
    <w:p/>
    <w:p/>
    <w:p/>
    <w:p/>
    <w:p/>
    <w:p/>
    <w:p/>
    <w:p>
      <w:r>
        <w:pict>
          <v:roundrect id="_x0000_s1038" o:spid="_x0000_s1038" o:spt="2" style="position:absolute;left:0pt;margin-left:-3.75pt;margin-top:0pt;height:101.4pt;width:417pt;z-index:251661312;mso-width-relative:page;mso-height-relative:page;" stroked="t" coordsize="21600,21600" arcsize="0.166666666666667">
            <v:path/>
            <v:fill focussize="0,0"/>
            <v:stroke weight="1pt" color="#F79646" dashstyle="dash"/>
            <v:imagedata o:title=""/>
            <o:lock v:ext="edit"/>
            <v:textbox>
              <w:txbxContent>
                <w:p>
                  <w:pPr>
                    <w:rPr>
                      <w:rFonts w:ascii="仿宋_GB2312" w:hAnsi="黑体" w:eastAsia="仿宋_GB2312" w:cs="文星仿宋"/>
                      <w:bCs/>
                      <w:color w:val="000000"/>
                      <w:sz w:val="28"/>
                      <w:szCs w:val="28"/>
                    </w:rPr>
                  </w:pPr>
                  <w:r>
                    <w:rPr>
                      <w:rFonts w:hint="eastAsia" w:ascii="仿宋_GB2312" w:hAnsi="黑体" w:eastAsia="仿宋_GB2312" w:cs="文星仿宋"/>
                      <w:bCs/>
                      <w:color w:val="000000"/>
                      <w:sz w:val="28"/>
                      <w:szCs w:val="28"/>
                    </w:rPr>
                    <w:t>二、申贷企业的条件范围？</w:t>
                  </w:r>
                </w:p>
                <w:p>
                  <w:pPr>
                    <w:rPr>
                      <w:rFonts w:ascii="仿宋_GB2312" w:hAnsi="黑体" w:eastAsia="仿宋_GB2312" w:cs="文星仿宋"/>
                      <w:bCs/>
                      <w:color w:val="000000"/>
                      <w:sz w:val="28"/>
                      <w:szCs w:val="28"/>
                    </w:rPr>
                  </w:pPr>
                  <w:r>
                    <w:rPr>
                      <w:rFonts w:hint="eastAsia" w:ascii="仿宋_GB2312" w:hAnsi="黑体" w:eastAsia="仿宋_GB2312" w:cs="文星仿宋"/>
                      <w:bCs/>
                      <w:color w:val="000000"/>
                      <w:sz w:val="28"/>
                      <w:szCs w:val="28"/>
                    </w:rPr>
                    <w:t>答：以负面清单的形式扩大到全市符合要求的所有中小微企业，同时提供重点支持企业名单推荐给合作金融机构参考。（第五章）</w:t>
                  </w:r>
                </w:p>
              </w:txbxContent>
            </v:textbox>
          </v:roundrect>
        </w:pict>
      </w:r>
    </w:p>
    <w:p/>
    <w:p/>
    <w:p/>
    <w:p/>
    <w:p/>
    <w:p/>
    <w:p/>
    <w:p/>
    <w:p/>
    <w:p>
      <w:r>
        <w:pict>
          <v:roundrect id="_x0000_s1039" o:spid="_x0000_s1039" o:spt="2" style="position:absolute;left:0pt;margin-left:-3pt;margin-top:0pt;height:249.6pt;width:417pt;z-index:251662336;mso-width-relative:page;mso-height-relative:page;" stroked="t" coordsize="21600,21600" arcsize="0.166666666666667">
            <v:path/>
            <v:fill focussize="0,0"/>
            <v:stroke weight="1pt" color="#F79646" dashstyle="dash"/>
            <v:imagedata o:title=""/>
            <o:lock v:ext="edit"/>
            <v:textbox>
              <w:txbxContent>
                <w:p>
                  <w:pPr>
                    <w:rPr>
                      <w:rFonts w:ascii="仿宋_GB2312" w:hAnsi="黑体" w:eastAsia="仿宋_GB2312" w:cs="文星仿宋"/>
                      <w:bCs/>
                      <w:color w:val="000000"/>
                      <w:sz w:val="28"/>
                      <w:szCs w:val="28"/>
                    </w:rPr>
                  </w:pPr>
                  <w:r>
                    <w:rPr>
                      <w:rFonts w:hint="eastAsia" w:ascii="仿宋_GB2312" w:hAnsi="黑体" w:eastAsia="仿宋_GB2312" w:cs="文星仿宋"/>
                      <w:bCs/>
                      <w:color w:val="000000"/>
                      <w:sz w:val="28"/>
                      <w:szCs w:val="28"/>
                    </w:rPr>
                    <w:t>三、信贷风险补偿资金代偿比例？</w:t>
                  </w:r>
                </w:p>
                <w:p>
                  <w:pPr>
                    <w:rPr>
                      <w:rFonts w:ascii="仿宋_GB2312" w:hAnsi="黑体" w:eastAsia="仿宋_GB2312" w:cs="文星仿宋"/>
                      <w:bCs/>
                      <w:color w:val="000000"/>
                      <w:sz w:val="28"/>
                      <w:szCs w:val="28"/>
                    </w:rPr>
                  </w:pPr>
                  <w:r>
                    <w:rPr>
                      <w:rFonts w:hint="eastAsia" w:ascii="仿宋_GB2312" w:hAnsi="黑体" w:eastAsia="仿宋_GB2312" w:cs="文星仿宋"/>
                      <w:bCs/>
                      <w:color w:val="000000"/>
                      <w:sz w:val="28"/>
                      <w:szCs w:val="28"/>
                    </w:rPr>
                    <w:t>答：风险损失由信贷风险补偿资金和合作金融机构按以下情况划分承担比例：</w:t>
                  </w:r>
                </w:p>
                <w:p>
                  <w:pPr>
                    <w:rPr>
                      <w:rFonts w:ascii="仿宋_GB2312" w:hAnsi="黑体" w:eastAsia="仿宋_GB2312" w:cs="文星仿宋"/>
                      <w:bCs/>
                      <w:color w:val="000000"/>
                      <w:sz w:val="28"/>
                      <w:szCs w:val="28"/>
                    </w:rPr>
                  </w:pPr>
                  <w:r>
                    <w:rPr>
                      <w:rFonts w:hint="eastAsia" w:ascii="仿宋_GB2312" w:hAnsi="黑体" w:eastAsia="仿宋_GB2312" w:cs="文星仿宋"/>
                      <w:bCs/>
                      <w:color w:val="000000"/>
                      <w:sz w:val="28"/>
                      <w:szCs w:val="28"/>
                    </w:rPr>
                    <w:t>（一）放大抵押物抵押率</w:t>
                  </w:r>
                  <w:r>
                    <w:rPr>
                      <w:rFonts w:ascii="仿宋_GB2312" w:hAnsi="黑体" w:eastAsia="仿宋_GB2312" w:cs="文星仿宋"/>
                      <w:bCs/>
                      <w:color w:val="000000"/>
                      <w:sz w:val="28"/>
                      <w:szCs w:val="28"/>
                    </w:rPr>
                    <w:t>1</w:t>
                  </w:r>
                  <w:r>
                    <w:rPr>
                      <w:rFonts w:hint="eastAsia" w:ascii="仿宋_GB2312" w:hAnsi="黑体" w:eastAsia="仿宋_GB2312" w:cs="文星仿宋"/>
                      <w:bCs/>
                      <w:color w:val="000000"/>
                      <w:sz w:val="28"/>
                      <w:szCs w:val="28"/>
                    </w:rPr>
                    <w:t>至</w:t>
                  </w:r>
                  <w:r>
                    <w:rPr>
                      <w:rFonts w:ascii="仿宋_GB2312" w:hAnsi="黑体" w:eastAsia="仿宋_GB2312" w:cs="文星仿宋"/>
                      <w:bCs/>
                      <w:color w:val="000000"/>
                      <w:sz w:val="28"/>
                      <w:szCs w:val="28"/>
                    </w:rPr>
                    <w:t>2.5</w:t>
                  </w:r>
                  <w:r>
                    <w:rPr>
                      <w:rFonts w:hint="eastAsia" w:ascii="仿宋_GB2312" w:hAnsi="黑体" w:eastAsia="仿宋_GB2312" w:cs="文星仿宋"/>
                      <w:bCs/>
                      <w:color w:val="000000"/>
                      <w:sz w:val="28"/>
                      <w:szCs w:val="28"/>
                    </w:rPr>
                    <w:t>倍贷款的，信贷风险补偿资金承担</w:t>
                  </w:r>
                  <w:r>
                    <w:rPr>
                      <w:rFonts w:ascii="仿宋_GB2312" w:hAnsi="黑体" w:eastAsia="仿宋_GB2312" w:cs="文星仿宋"/>
                      <w:bCs/>
                      <w:color w:val="000000"/>
                      <w:sz w:val="28"/>
                      <w:szCs w:val="28"/>
                    </w:rPr>
                    <w:t>20%</w:t>
                  </w:r>
                  <w:r>
                    <w:rPr>
                      <w:rFonts w:hint="eastAsia" w:ascii="仿宋_GB2312" w:hAnsi="黑体" w:eastAsia="仿宋_GB2312" w:cs="文星仿宋"/>
                      <w:bCs/>
                      <w:color w:val="000000"/>
                      <w:sz w:val="28"/>
                      <w:szCs w:val="28"/>
                    </w:rPr>
                    <w:t>，合作金融机构承担</w:t>
                  </w:r>
                  <w:r>
                    <w:rPr>
                      <w:rFonts w:ascii="仿宋_GB2312" w:hAnsi="黑体" w:eastAsia="仿宋_GB2312" w:cs="文星仿宋"/>
                      <w:bCs/>
                      <w:color w:val="000000"/>
                      <w:sz w:val="28"/>
                      <w:szCs w:val="28"/>
                    </w:rPr>
                    <w:t>80%</w:t>
                  </w:r>
                  <w:r>
                    <w:rPr>
                      <w:rFonts w:hint="eastAsia" w:ascii="仿宋_GB2312" w:hAnsi="黑体" w:eastAsia="仿宋_GB2312" w:cs="文星仿宋"/>
                      <w:bCs/>
                      <w:color w:val="000000"/>
                      <w:sz w:val="28"/>
                      <w:szCs w:val="28"/>
                    </w:rPr>
                    <w:t>；</w:t>
                  </w:r>
                </w:p>
                <w:p>
                  <w:pPr>
                    <w:rPr>
                      <w:rFonts w:ascii="仿宋_GB2312" w:hAnsi="黑体" w:eastAsia="仿宋_GB2312" w:cs="文星仿宋"/>
                      <w:bCs/>
                      <w:color w:val="000000"/>
                      <w:sz w:val="28"/>
                      <w:szCs w:val="28"/>
                    </w:rPr>
                  </w:pPr>
                  <w:r>
                    <w:rPr>
                      <w:rFonts w:hint="eastAsia" w:ascii="仿宋_GB2312" w:hAnsi="黑体" w:eastAsia="仿宋_GB2312" w:cs="文星仿宋"/>
                      <w:bCs/>
                      <w:color w:val="000000"/>
                      <w:sz w:val="28"/>
                      <w:szCs w:val="28"/>
                    </w:rPr>
                    <w:t>（二）免抵押信用贷款的，信贷风险补偿资金承担</w:t>
                  </w:r>
                  <w:r>
                    <w:rPr>
                      <w:rFonts w:ascii="仿宋_GB2312" w:hAnsi="黑体" w:eastAsia="仿宋_GB2312" w:cs="文星仿宋"/>
                      <w:bCs/>
                      <w:color w:val="000000"/>
                      <w:sz w:val="28"/>
                      <w:szCs w:val="28"/>
                    </w:rPr>
                    <w:t>10%</w:t>
                  </w:r>
                  <w:r>
                    <w:rPr>
                      <w:rFonts w:hint="eastAsia" w:ascii="仿宋_GB2312" w:hAnsi="黑体" w:eastAsia="仿宋_GB2312" w:cs="文星仿宋"/>
                      <w:bCs/>
                      <w:color w:val="000000"/>
                      <w:sz w:val="28"/>
                      <w:szCs w:val="28"/>
                    </w:rPr>
                    <w:t>，合作金融机构承担</w:t>
                  </w:r>
                  <w:r>
                    <w:rPr>
                      <w:rFonts w:ascii="仿宋_GB2312" w:hAnsi="黑体" w:eastAsia="仿宋_GB2312" w:cs="文星仿宋"/>
                      <w:bCs/>
                      <w:color w:val="000000"/>
                      <w:sz w:val="28"/>
                      <w:szCs w:val="28"/>
                    </w:rPr>
                    <w:t>90%</w:t>
                  </w:r>
                  <w:r>
                    <w:rPr>
                      <w:rFonts w:hint="eastAsia" w:ascii="仿宋_GB2312" w:hAnsi="黑体" w:eastAsia="仿宋_GB2312" w:cs="文星仿宋"/>
                      <w:bCs/>
                      <w:color w:val="000000"/>
                      <w:sz w:val="28"/>
                      <w:szCs w:val="28"/>
                    </w:rPr>
                    <w:t>。（第六章）</w:t>
                  </w:r>
                </w:p>
              </w:txbxContent>
            </v:textbox>
          </v:roundrect>
        </w:pict>
      </w:r>
    </w:p>
    <w:p/>
    <w:p/>
    <w:p/>
    <w:p/>
    <w:p/>
    <w:p>
      <w:r>
        <w:pict>
          <v:roundrect id="_x0000_s1042" o:spid="_x0000_s1042" o:spt="2" style="position:absolute;left:0pt;margin-left:6.75pt;margin-top:322.65pt;height:70.2pt;width:417pt;z-index:251664384;mso-width-relative:page;mso-height-relative:page;" stroked="t" coordsize="21600,21600" arcsize="0.166666666666667">
            <v:path/>
            <v:fill focussize="0,0"/>
            <v:stroke weight="1pt" color="#F79646" dashstyle="dash"/>
            <v:imagedata o:title=""/>
            <o:lock v:ext="edit"/>
            <v:textbox>
              <w:txbxContent>
                <w:p>
                  <w:pPr>
                    <w:rPr>
                      <w:rFonts w:ascii="仿宋_GB2312" w:hAnsi="黑体" w:eastAsia="仿宋_GB2312" w:cs="文星仿宋"/>
                      <w:bCs/>
                      <w:color w:val="000000"/>
                      <w:sz w:val="28"/>
                      <w:szCs w:val="28"/>
                    </w:rPr>
                  </w:pPr>
                  <w:r>
                    <w:rPr>
                      <w:rFonts w:hint="eastAsia" w:ascii="仿宋_GB2312" w:hAnsi="黑体" w:eastAsia="仿宋_GB2312" w:cs="文星仿宋"/>
                      <w:bCs/>
                      <w:color w:val="000000"/>
                      <w:sz w:val="28"/>
                      <w:szCs w:val="28"/>
                    </w:rPr>
                    <w:t>五、一般申贷周期多久？</w:t>
                  </w:r>
                </w:p>
                <w:p>
                  <w:pPr>
                    <w:rPr>
                      <w:rFonts w:ascii="仿宋_GB2312" w:hAnsi="黑体" w:eastAsia="仿宋_GB2312" w:cs="文星仿宋"/>
                      <w:bCs/>
                      <w:color w:val="000000"/>
                      <w:sz w:val="28"/>
                      <w:szCs w:val="28"/>
                    </w:rPr>
                  </w:pPr>
                  <w:r>
                    <w:rPr>
                      <w:rFonts w:hint="eastAsia" w:ascii="仿宋_GB2312" w:hAnsi="黑体" w:eastAsia="仿宋_GB2312" w:cs="文星仿宋"/>
                      <w:bCs/>
                      <w:color w:val="000000"/>
                      <w:sz w:val="28"/>
                      <w:szCs w:val="28"/>
                    </w:rPr>
                    <w:t>答：快的一周，慢的一般不超过一个月。</w:t>
                  </w:r>
                </w:p>
              </w:txbxContent>
            </v:textbox>
          </v:roundrect>
        </w:pict>
      </w:r>
      <w:r>
        <w:pict>
          <v:roundrect id="_x0000_s1041" o:spid="_x0000_s1041" o:spt="2" style="position:absolute;left:0pt;margin-left:6.75pt;margin-top:201.45pt;height:70.2pt;width:417pt;z-index:251663360;mso-width-relative:page;mso-height-relative:page;" stroked="t" coordsize="21600,21600" arcsize="0.166666666666667">
            <v:path/>
            <v:fill focussize="0,0"/>
            <v:stroke weight="1pt" color="#F79646" dashstyle="dash"/>
            <v:imagedata o:title=""/>
            <o:lock v:ext="edit"/>
            <v:textbox>
              <w:txbxContent>
                <w:p>
                  <w:pPr>
                    <w:rPr>
                      <w:rFonts w:ascii="仿宋_GB2312" w:hAnsi="黑体" w:eastAsia="仿宋_GB2312" w:cs="文星仿宋"/>
                      <w:bCs/>
                      <w:color w:val="000000"/>
                      <w:sz w:val="28"/>
                      <w:szCs w:val="28"/>
                    </w:rPr>
                  </w:pPr>
                  <w:r>
                    <w:rPr>
                      <w:rFonts w:hint="eastAsia" w:ascii="仿宋_GB2312" w:hAnsi="黑体" w:eastAsia="仿宋_GB2312" w:cs="文星仿宋"/>
                      <w:bCs/>
                      <w:color w:val="000000"/>
                      <w:sz w:val="28"/>
                      <w:szCs w:val="28"/>
                    </w:rPr>
                    <w:t>四、是否有信用贷款品种？</w:t>
                  </w:r>
                </w:p>
                <w:p>
                  <w:pPr>
                    <w:rPr>
                      <w:rFonts w:ascii="仿宋_GB2312" w:hAnsi="黑体" w:eastAsia="仿宋_GB2312" w:cs="文星仿宋"/>
                      <w:bCs/>
                      <w:color w:val="000000"/>
                      <w:sz w:val="28"/>
                      <w:szCs w:val="28"/>
                    </w:rPr>
                  </w:pPr>
                  <w:r>
                    <w:rPr>
                      <w:rFonts w:hint="eastAsia" w:ascii="仿宋_GB2312" w:hAnsi="黑体" w:eastAsia="仿宋_GB2312" w:cs="文星仿宋"/>
                      <w:bCs/>
                      <w:color w:val="000000"/>
                      <w:sz w:val="28"/>
                      <w:szCs w:val="28"/>
                    </w:rPr>
                    <w:t>答：有，但额度要根据银行对企业的评估。</w:t>
                  </w:r>
                </w:p>
              </w:txbxContent>
            </v:textbox>
          </v:roundrect>
        </w:pic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文星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6550442"/>
      <w:docPartObj>
        <w:docPartGallery w:val="AutoText"/>
      </w:docPartObj>
    </w:sdtPr>
    <w:sdtContent>
      <w:p>
        <w:pPr>
          <w:pStyle w:val="2"/>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BC3D21"/>
    <w:rsid w:val="0003737F"/>
    <w:rsid w:val="00101A3E"/>
    <w:rsid w:val="00167532"/>
    <w:rsid w:val="001D49F8"/>
    <w:rsid w:val="00231A73"/>
    <w:rsid w:val="00335A21"/>
    <w:rsid w:val="0052196C"/>
    <w:rsid w:val="005752A6"/>
    <w:rsid w:val="00676090"/>
    <w:rsid w:val="008D4AFD"/>
    <w:rsid w:val="00916FEF"/>
    <w:rsid w:val="009C066F"/>
    <w:rsid w:val="009C587C"/>
    <w:rsid w:val="00A42821"/>
    <w:rsid w:val="00AB0181"/>
    <w:rsid w:val="00B76332"/>
    <w:rsid w:val="00BA772E"/>
    <w:rsid w:val="00BC1A89"/>
    <w:rsid w:val="00BC3D21"/>
    <w:rsid w:val="00CB1A7D"/>
    <w:rsid w:val="00D75A3B"/>
    <w:rsid w:val="00E431B5"/>
    <w:rsid w:val="00ED772F"/>
    <w:rsid w:val="00F44CFA"/>
    <w:rsid w:val="26A3361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locked/>
    <w:uiPriority w:val="99"/>
    <w:rPr>
      <w:rFonts w:cs="Times New Roman"/>
      <w:sz w:val="18"/>
      <w:szCs w:val="18"/>
    </w:rPr>
  </w:style>
  <w:style w:type="character" w:customStyle="1" w:styleId="7">
    <w:name w:val="页脚 Char"/>
    <w:basedOn w:val="4"/>
    <w:link w:val="2"/>
    <w:qFormat/>
    <w:locked/>
    <w:uiPriority w:val="99"/>
    <w:rPr>
      <w:rFonts w:cs="Times New Roman"/>
      <w:sz w:val="18"/>
      <w:szCs w:val="18"/>
    </w:rPr>
  </w:style>
  <w:style w:type="paragraph" w:styleId="8">
    <w:name w:val="No Spacing"/>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8"/>
    <customShpInfo spid="_x0000_s1026"/>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2"/>
    <customShpInfo spid="_x0000_s104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28</Words>
  <Characters>166</Characters>
  <Lines>1</Lines>
  <Paragraphs>1</Paragraphs>
  <TotalTime>2</TotalTime>
  <ScaleCrop>false</ScaleCrop>
  <LinksUpToDate>false</LinksUpToDate>
  <CharactersWithSpaces>193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2018-07-05T09:18:00Z</dcterms:created>
  <dc:creator>Administrator</dc:creator>
  <cp:lastModifiedBy>Administrator</cp:lastModifiedBy>
  <cp:lastPrinted>2018-07-05T09:17:00Z</cp:lastPrinted>
  <dcterms:modified xsi:type="dcterms:W3CDTF">2018-07-10T00:46:40Z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