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1320" w:leftChars="0" w:hanging="1320" w:hangingChars="300"/>
        <w:textAlignment w:val="auto"/>
        <w:outlineLvl w:val="9"/>
        <w:rPr>
          <w:rFonts w:hint="eastAsia" w:ascii="方正小标宋简体" w:hAnsi="方正小标宋简体" w:eastAsia="方正小标宋简体" w:cs="仿宋"/>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1320" w:leftChars="0" w:hanging="1320" w:hangingChars="300"/>
        <w:textAlignment w:val="auto"/>
        <w:outlineLvl w:val="9"/>
      </w:pPr>
      <w:r>
        <w:rPr>
          <w:rFonts w:hint="eastAsia" w:ascii="方正小标宋简体" w:hAnsi="方正小标宋简体" w:eastAsia="方正小标宋简体" w:cs="仿宋"/>
          <w:sz w:val="44"/>
          <w:szCs w:val="44"/>
        </w:rPr>
        <w:t>关于完善土地收储和集体留用地纳入储备 管理</w:t>
      </w:r>
      <w:r>
        <w:rPr>
          <w:rFonts w:hint="eastAsia" w:ascii="方正小标宋简体" w:hAnsi="方正小标宋简体" w:eastAsia="方正小标宋简体" w:cs="仿宋"/>
          <w:sz w:val="44"/>
          <w:szCs w:val="44"/>
          <w:lang w:eastAsia="zh-CN"/>
        </w:rPr>
        <w:t>后</w:t>
      </w:r>
      <w:r>
        <w:rPr>
          <w:rFonts w:hint="eastAsia" w:ascii="方正小标宋简体" w:hAnsi="方正小标宋简体" w:eastAsia="方正小标宋简体" w:cs="仿宋"/>
          <w:sz w:val="44"/>
          <w:szCs w:val="44"/>
        </w:rPr>
        <w:t>出让收益分配的指导意见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楷体" w:hAnsi="楷体" w:eastAsia="楷体" w:cs="楷体"/>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 xml:space="preserve">  （</w:t>
      </w:r>
      <w:r>
        <w:rPr>
          <w:rFonts w:hint="eastAsia" w:ascii="楷体" w:hAnsi="楷体" w:eastAsia="楷体" w:cs="楷体"/>
          <w:sz w:val="32"/>
          <w:szCs w:val="32"/>
          <w:lang w:eastAsia="zh-CN"/>
        </w:rPr>
        <w:t>征求意见</w:t>
      </w:r>
      <w:r>
        <w:rPr>
          <w:rFonts w:hint="eastAsia" w:ascii="楷体" w:hAnsi="楷体" w:eastAsia="楷体" w:cs="楷体"/>
          <w:sz w:val="32"/>
          <w:szCs w:val="32"/>
        </w:rPr>
        <w:t>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为贯彻落实上级关于高度节约集约用地的政策精神，</w:t>
      </w:r>
      <w:r>
        <w:rPr>
          <w:rFonts w:hint="eastAsia" w:ascii="仿宋_GB2312" w:hAnsi="仿宋_GB2312" w:eastAsia="仿宋_GB2312" w:cs="仿宋_GB2312"/>
          <w:sz w:val="32"/>
          <w:szCs w:val="32"/>
        </w:rPr>
        <w:t>妥善解决</w:t>
      </w:r>
      <w:r>
        <w:rPr>
          <w:rFonts w:hint="eastAsia" w:ascii="仿宋" w:hAnsi="仿宋" w:eastAsia="仿宋" w:cs="仿宋"/>
          <w:sz w:val="32"/>
          <w:szCs w:val="32"/>
        </w:rPr>
        <w:t>濠江区历史遗留未能合理利用的问题用地、低效用地、闲置土地和集体自留地，实现全区高质量发展探索多种方式提高空间利用效率、提供用地要素保障，根据自然资源部办公厅《关于政府原因闲置土地协议有偿收回相关政策的函》（自然资办函〔2018〕1903号）、省委省政府《关于全面推进自然资源高水平保护高效率利用的意见》、广东省自然资源厅《关于推进征收农村集体土地留用地高效开发利用的通知》（粤自然资规字〔2020〕4号）、《广东省征收农村集体土地留用地管理办法 》（粤府办〔2009〕41号）、《汕头经济特区地价管理规定》（汕头市人民政府令第206号）、《汕头经济特区土地储备条例》</w:t>
      </w:r>
      <w:r>
        <w:rPr>
          <w:rFonts w:hint="eastAsia" w:ascii="仿宋_GB2312" w:hAnsi="Arial" w:eastAsia="仿宋_GB2312" w:cs="Arial"/>
          <w:color w:val="191919"/>
          <w:sz w:val="32"/>
          <w:szCs w:val="32"/>
        </w:rPr>
        <w:t>的文件精神及参照其它地级市相关做法</w:t>
      </w:r>
      <w:r>
        <w:rPr>
          <w:rFonts w:hint="eastAsia" w:ascii="仿宋" w:hAnsi="仿宋" w:eastAsia="仿宋" w:cs="仿宋"/>
          <w:sz w:val="32"/>
          <w:szCs w:val="32"/>
        </w:rPr>
        <w:t>，现就完善我区土地收储和集体留用地纳入储备管理后出让收益分配提出如下指导意见：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黑体" w:hAnsi="黑体" w:eastAsia="黑体" w:cs="仿宋"/>
          <w:sz w:val="32"/>
          <w:szCs w:val="32"/>
        </w:rPr>
      </w:pPr>
      <w:r>
        <w:rPr>
          <w:rFonts w:hint="eastAsia" w:ascii="黑体" w:hAnsi="黑体" w:eastAsia="黑体" w:cs="黑体"/>
          <w:sz w:val="32"/>
          <w:szCs w:val="32"/>
        </w:rPr>
        <w:t>一、</w:t>
      </w:r>
      <w:r>
        <w:rPr>
          <w:rFonts w:hint="eastAsia" w:ascii="黑体" w:hAnsi="黑体" w:eastAsia="黑体" w:cs="仿宋"/>
          <w:sz w:val="32"/>
          <w:szCs w:val="32"/>
        </w:rPr>
        <w:t>以划拨方式取得土地使用权的土地收储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_GB2312" w:hAnsi="楷体" w:eastAsia="仿宋_GB2312" w:cs="仿宋"/>
          <w:sz w:val="32"/>
          <w:szCs w:val="32"/>
        </w:rPr>
      </w:pPr>
      <w:r>
        <w:rPr>
          <w:rFonts w:hint="eastAsia" w:ascii="仿宋_GB2312" w:hAnsi="楷体" w:eastAsia="仿宋_GB2312" w:cs="仿宋"/>
          <w:sz w:val="32"/>
          <w:szCs w:val="32"/>
        </w:rPr>
        <w:t>收储宗地属于以划拨方式取得的土地使用权的，按取地成本结合土地用途剩余年限评估核算确定：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_GB2312" w:hAnsi="Times New Roman" w:eastAsia="仿宋_GB2312" w:cs="Times New Roman"/>
          <w:sz w:val="32"/>
          <w:szCs w:val="32"/>
        </w:rPr>
      </w:pPr>
      <w:r>
        <w:rPr>
          <w:rFonts w:hint="eastAsia" w:ascii="仿宋" w:hAnsi="仿宋" w:eastAsia="仿宋" w:cs="仿宋"/>
          <w:sz w:val="32"/>
          <w:szCs w:val="32"/>
        </w:rPr>
        <w:t>（一）收储宗地属于以无偿划拨方式取得的土地使用权，</w:t>
      </w:r>
      <w:r>
        <w:rPr>
          <w:rFonts w:hint="eastAsia" w:ascii="仿宋_GB2312" w:hAnsi="Times New Roman" w:eastAsia="仿宋_GB2312" w:cs="Times New Roman"/>
          <w:sz w:val="32"/>
          <w:szCs w:val="32"/>
        </w:rPr>
        <w:t>仅对地上建（构）筑物、附着物经评估后给予补偿。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_GB2312" w:hAnsi="仿宋" w:eastAsia="仿宋_GB2312" w:cs="仿宋"/>
          <w:sz w:val="32"/>
          <w:szCs w:val="32"/>
        </w:rPr>
      </w:pPr>
      <w:r>
        <w:rPr>
          <w:rFonts w:hint="eastAsia" w:ascii="仿宋_GB2312" w:hAnsi="Times New Roman" w:eastAsia="仿宋_GB2312" w:cs="Times New Roman"/>
          <w:sz w:val="32"/>
          <w:szCs w:val="32"/>
        </w:rPr>
        <w:t>（二）收储宗地属于支付用地成本后以划拨方式取得土地使用权的，结合原支付的取地成本</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按照原</w:t>
      </w:r>
      <w:r>
        <w:rPr>
          <w:rFonts w:hint="eastAsia" w:ascii="仿宋_GB2312" w:hAnsi="仿宋" w:eastAsia="仿宋_GB2312" w:cs="仿宋"/>
          <w:sz w:val="32"/>
          <w:szCs w:val="32"/>
        </w:rPr>
        <w:t>用途剩余使用年限评估价格为</w:t>
      </w:r>
      <w:bookmarkStart w:id="2" w:name="_GoBack"/>
      <w:bookmarkEnd w:id="2"/>
      <w:r>
        <w:rPr>
          <w:rFonts w:hint="eastAsia" w:ascii="仿宋_GB2312" w:hAnsi="仿宋" w:eastAsia="仿宋_GB2312" w:cs="仿宋"/>
          <w:sz w:val="32"/>
          <w:szCs w:val="32"/>
        </w:rPr>
        <w:t>基础核算补偿。其中：</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土地使用权属机关事业单位及个人的，按照原用途剩余使用年限评估价格的60%给予补偿；土地使用权人属企业和其它组织的，按照原用途剩余使用年限评估价格的50%给予补偿。地上建筑物、构筑物及附着物按照评估价格给予补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黑体" w:hAnsi="黑体" w:eastAsia="黑体" w:cs="仿宋"/>
          <w:sz w:val="32"/>
          <w:szCs w:val="32"/>
        </w:rPr>
      </w:pPr>
      <w:r>
        <w:rPr>
          <w:rFonts w:hint="eastAsia" w:ascii="黑体" w:hAnsi="黑体" w:eastAsia="黑体" w:cs="仿宋"/>
          <w:sz w:val="32"/>
          <w:szCs w:val="32"/>
        </w:rPr>
        <w:t>二、以出让方式取得土地使用权的土地收储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ascii="仿宋_GB2312" w:hAnsi="Times New Roman" w:eastAsia="仿宋_GB2312"/>
          <w:sz w:val="32"/>
          <w:szCs w:val="32"/>
        </w:rPr>
      </w:pPr>
      <w:r>
        <w:rPr>
          <w:rFonts w:hint="eastAsia" w:ascii="仿宋_GB2312" w:hAnsi="仿宋" w:eastAsia="仿宋_GB2312" w:cs="仿宋"/>
          <w:sz w:val="32"/>
          <w:szCs w:val="32"/>
        </w:rPr>
        <w:t>收储宗地属于以出让方式取得的土地使用权（除闲置及低效用地外），</w:t>
      </w:r>
      <w:r>
        <w:rPr>
          <w:rFonts w:hint="eastAsia" w:ascii="仿宋_GB2312" w:hAnsi="Times New Roman" w:eastAsia="仿宋_GB2312"/>
          <w:sz w:val="32"/>
          <w:szCs w:val="32"/>
          <w:shd w:val="clear" w:color="auto" w:fill="FFFFFF"/>
        </w:rPr>
        <w:t>可</w:t>
      </w:r>
      <w:r>
        <w:rPr>
          <w:rFonts w:hint="eastAsia" w:ascii="仿宋_GB2312" w:hAnsi="Times New Roman" w:eastAsia="仿宋_GB2312"/>
          <w:sz w:val="32"/>
          <w:szCs w:val="32"/>
        </w:rPr>
        <w:t>按以下三种方式之一进行补偿：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ascii="仿宋_GB2312" w:hAnsi="Times New Roman" w:eastAsia="仿宋_GB2312"/>
          <w:sz w:val="32"/>
          <w:szCs w:val="32"/>
        </w:rPr>
      </w:pPr>
      <w:r>
        <w:rPr>
          <w:rFonts w:hint="eastAsia" w:ascii="仿宋_GB2312" w:hAnsi="Times New Roman" w:eastAsia="仿宋_GB2312"/>
          <w:sz w:val="32"/>
          <w:szCs w:val="32"/>
          <w:shd w:val="clear" w:color="auto" w:fill="FFFFFF"/>
        </w:rPr>
        <w:t>（一）经有资质的土地评估机构按原土地出让合同约定的用途、规划条件及剩余年限等评估后，按评估价格上浮一定比例进行补偿，上浮比例不超过20%。</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（二）按宗地地块原土地出让合同约定用途的标定地价和修正系数（以市自然资源局公报为准）进行核算补偿。</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ascii="仿宋_GB2312" w:hAnsi="Times New Roman" w:eastAsia="仿宋_GB2312"/>
          <w:sz w:val="32"/>
          <w:szCs w:val="32"/>
          <w:shd w:val="clear" w:color="auto" w:fill="FFFFFF"/>
        </w:rPr>
      </w:pPr>
      <w:r>
        <w:rPr>
          <w:rFonts w:hint="eastAsia" w:ascii="仿宋_GB2312" w:hAnsi="Times New Roman" w:eastAsia="仿宋_GB2312"/>
          <w:sz w:val="32"/>
          <w:szCs w:val="32"/>
          <w:shd w:val="clear" w:color="auto" w:fill="FFFFFF"/>
        </w:rPr>
        <w:t xml:space="preserve">（三）以取地成本作为基础进行核算，并对土地前期开发支出进行补偿，即土地补偿价款=取得土地价款+前期开发支出费用（以有资质会计事务所审计报告为准）。  </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地上建筑物、构筑物及附着物按照评估价格给予补偿。属以优惠地价取得土地使用权的，应补交原优惠地价款后，方可按上述方式进行收储。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rPr>
        <w:t>上述以划拨、出让取得土地使用权土地收储意见仅适用于</w:t>
      </w:r>
      <w:r>
        <w:rPr>
          <w:rFonts w:hint="eastAsia" w:ascii="仿宋_GB2312" w:hAnsi="仿宋" w:eastAsia="仿宋_GB2312" w:cs="仿宋"/>
          <w:sz w:val="32"/>
          <w:szCs w:val="32"/>
          <w:shd w:val="clear" w:color="auto" w:fill="FFFFFF"/>
        </w:rPr>
        <w:t>2022年3月24日前取得的国有建设用地使用权。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textAlignment w:val="auto"/>
        <w:outlineLvl w:val="9"/>
        <w:rPr>
          <w:rFonts w:ascii="黑体" w:hAnsi="黑体" w:eastAsia="黑体" w:cs="仿宋"/>
          <w:sz w:val="32"/>
          <w:szCs w:val="32"/>
        </w:rPr>
      </w:pPr>
      <w:r>
        <w:rPr>
          <w:rFonts w:hint="eastAsia" w:ascii="黑体" w:hAnsi="黑体" w:eastAsia="黑体" w:cs="黑体"/>
          <w:sz w:val="32"/>
          <w:szCs w:val="32"/>
          <w:shd w:val="clear" w:color="auto" w:fill="FFFFFF"/>
        </w:rPr>
        <w:t>三、</w:t>
      </w:r>
      <w:r>
        <w:rPr>
          <w:rFonts w:hint="eastAsia" w:ascii="黑体" w:hAnsi="黑体" w:eastAsia="黑体" w:cs="仿宋"/>
          <w:sz w:val="32"/>
          <w:szCs w:val="32"/>
        </w:rPr>
        <w:t>低效产业用地的收储</w:t>
      </w:r>
    </w:p>
    <w:p>
      <w:pPr>
        <w:pStyle w:val="7"/>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收储宗地已认定为低效产业用地的，以</w:t>
      </w:r>
      <w:r>
        <w:rPr>
          <w:rFonts w:hint="eastAsia" w:ascii="仿宋_GB2312" w:hAnsi="Times New Roman" w:eastAsia="仿宋_GB2312"/>
          <w:sz w:val="32"/>
          <w:szCs w:val="32"/>
          <w:shd w:val="clear" w:color="auto" w:fill="FFFFFF"/>
        </w:rPr>
        <w:t>原土地出让合同约定的用途、规划条件及剩余年限等评估后，</w:t>
      </w:r>
      <w:bookmarkStart w:id="0" w:name="_Hlk121062794"/>
      <w:r>
        <w:rPr>
          <w:rFonts w:hint="eastAsia" w:ascii="仿宋_GB2312" w:hAnsi="Times New Roman" w:eastAsia="仿宋_GB2312"/>
          <w:sz w:val="32"/>
          <w:szCs w:val="32"/>
          <w:shd w:val="clear" w:color="auto" w:fill="FFFFFF"/>
        </w:rPr>
        <w:t>按评估价格上浮一定比例进行补偿，上浮比例不超过20%。</w:t>
      </w:r>
      <w:bookmarkEnd w:id="0"/>
      <w:r>
        <w:rPr>
          <w:rFonts w:hint="eastAsia" w:ascii="仿宋_GB2312" w:hAnsi="仿宋" w:eastAsia="仿宋_GB2312" w:cs="仿宋"/>
          <w:sz w:val="32"/>
          <w:szCs w:val="32"/>
        </w:rPr>
        <w:t>存在未按出让合同开发利用土地问题的扣除违约金后给予补偿；地上建筑物、构筑物及附着物按照评估价格给予补偿。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960" w:firstLineChars="300"/>
        <w:textAlignment w:val="auto"/>
        <w:outlineLvl w:val="9"/>
        <w:rPr>
          <w:rFonts w:ascii="黑体" w:hAnsi="黑体" w:eastAsia="黑体" w:cs="仿宋"/>
          <w:sz w:val="32"/>
          <w:szCs w:val="32"/>
        </w:rPr>
      </w:pPr>
      <w:r>
        <w:rPr>
          <w:rFonts w:hint="eastAsia" w:ascii="黑体" w:hAnsi="黑体" w:eastAsia="黑体" w:cs="黑体"/>
          <w:sz w:val="32"/>
          <w:szCs w:val="32"/>
        </w:rPr>
        <w:t>四、</w:t>
      </w:r>
      <w:r>
        <w:rPr>
          <w:rFonts w:hint="eastAsia" w:ascii="黑体" w:hAnsi="黑体" w:eastAsia="黑体" w:cs="仿宋"/>
          <w:sz w:val="32"/>
          <w:szCs w:val="32"/>
        </w:rPr>
        <w:t>闲置土地的收储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_GB2312" w:hAnsi="Times New Roman" w:eastAsia="仿宋_GB2312"/>
          <w:sz w:val="32"/>
          <w:szCs w:val="32"/>
          <w:shd w:val="clear" w:color="auto" w:fill="FFFFFF"/>
        </w:rPr>
      </w:pPr>
      <w:r>
        <w:rPr>
          <w:rFonts w:hint="eastAsia" w:ascii="仿宋_GB2312" w:hAnsi="仿宋" w:eastAsia="仿宋_GB2312" w:cs="仿宋"/>
          <w:sz w:val="32"/>
          <w:szCs w:val="32"/>
          <w:shd w:val="clear" w:color="auto" w:fill="FFFFFF"/>
        </w:rPr>
        <w:t>收储宗地属因政府原因导致土地闲置的，按原出让合同约定的用途、容积率及使用年限的</w:t>
      </w:r>
      <w:r>
        <w:rPr>
          <w:rFonts w:hint="eastAsia" w:ascii="仿宋_GB2312" w:hAnsi="Times New Roman" w:eastAsia="仿宋_GB2312"/>
          <w:sz w:val="32"/>
          <w:szCs w:val="32"/>
          <w:shd w:val="clear" w:color="auto" w:fill="FFFFFF"/>
        </w:rPr>
        <w:t>评估价格进行收储。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_GB2312" w:hAnsi="仿宋" w:eastAsia="仿宋_GB2312" w:cs="仿宋"/>
          <w:sz w:val="32"/>
          <w:szCs w:val="32"/>
        </w:rPr>
      </w:pPr>
      <w:r>
        <w:rPr>
          <w:rFonts w:hint="eastAsia" w:ascii="仿宋_GB2312" w:hAnsi="仿宋" w:eastAsia="仿宋_GB2312" w:cs="仿宋"/>
          <w:sz w:val="32"/>
          <w:szCs w:val="32"/>
          <w:shd w:val="clear" w:color="auto" w:fill="FFFFFF"/>
        </w:rPr>
        <w:t>对政府原因已消除，依法达到应无偿收回的闲置土地，按企业自身原因进行处置。</w:t>
      </w:r>
      <w:r>
        <w:rPr>
          <w:rFonts w:hint="eastAsia" w:ascii="仿宋_GB2312" w:hAnsi="仿宋" w:eastAsia="仿宋_GB2312" w:cs="仿宋"/>
          <w:sz w:val="32"/>
          <w:szCs w:val="32"/>
        </w:rPr>
        <w:t>属以优惠地价取得土地使用权的政府原因闲置土地，应补交原优惠地价款后，方可按上述方式进行收储。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_GB2312" w:hAnsi="仿宋" w:eastAsia="仿宋_GB2312" w:cs="仿宋"/>
          <w:sz w:val="32"/>
          <w:szCs w:val="32"/>
          <w:shd w:val="clear" w:color="auto" w:fill="FFFFFF"/>
        </w:rPr>
      </w:pPr>
      <w:r>
        <w:rPr>
          <w:rFonts w:hint="eastAsia" w:ascii="仿宋_GB2312" w:hAnsi="Times New Roman" w:eastAsia="仿宋_GB2312" w:cs="Times New Roman"/>
          <w:sz w:val="32"/>
          <w:szCs w:val="32"/>
          <w:shd w:val="clear" w:color="auto" w:fill="FFFFFF"/>
        </w:rPr>
        <w:t>收储宗地涉及闲置土地收回的，按《闲置土地处置办法》处置。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ascii="仿宋" w:hAnsi="仿宋" w:eastAsia="仿宋" w:cs="仿宋"/>
          <w:sz w:val="32"/>
          <w:szCs w:val="32"/>
          <w:shd w:val="clear" w:color="auto" w:fill="FFFFFF"/>
        </w:rPr>
      </w:pPr>
      <w:r>
        <w:rPr>
          <w:rFonts w:ascii="仿宋" w:hAnsi="仿宋" w:eastAsia="仿宋" w:cs="仿宋"/>
          <w:sz w:val="32"/>
          <w:szCs w:val="32"/>
          <w:shd w:val="clear" w:color="auto" w:fill="FFFFFF"/>
        </w:rPr>
        <w:t xml:space="preserve">    </w:t>
      </w:r>
      <w:r>
        <w:rPr>
          <w:rFonts w:hint="eastAsia" w:ascii="仿宋" w:hAnsi="仿宋" w:eastAsia="仿宋" w:cs="仿宋"/>
          <w:sz w:val="32"/>
          <w:szCs w:val="32"/>
          <w:shd w:val="clear" w:color="auto" w:fill="FFFFFF"/>
        </w:rPr>
        <w:t>属“三旧”改造项目用地的按“三旧”有关政策文件执行。</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5"/>
        <w:textAlignment w:val="auto"/>
        <w:outlineLvl w:val="9"/>
        <w:rPr>
          <w:rFonts w:ascii="黑体" w:hAnsi="黑体" w:eastAsia="黑体" w:cs="仿宋"/>
          <w:sz w:val="32"/>
          <w:szCs w:val="32"/>
        </w:rPr>
      </w:pPr>
      <w:r>
        <w:rPr>
          <w:rFonts w:hint="eastAsia" w:ascii="黑体" w:hAnsi="黑体" w:eastAsia="黑体" w:cs="仿宋"/>
          <w:sz w:val="32"/>
          <w:szCs w:val="32"/>
        </w:rPr>
        <w:t>五、关于特殊经营权项目用地的收储</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ascii="仿宋_GB2312" w:hAnsi="仿宋" w:eastAsia="仿宋_GB2312" w:cs="仿宋"/>
          <w:sz w:val="32"/>
          <w:szCs w:val="32"/>
        </w:rPr>
      </w:pPr>
      <w:r>
        <w:rPr>
          <w:rFonts w:hint="eastAsia" w:ascii="仿宋_GB2312" w:hAnsi="仿宋" w:eastAsia="仿宋_GB2312" w:cs="仿宋"/>
          <w:sz w:val="32"/>
          <w:szCs w:val="32"/>
        </w:rPr>
        <w:t>针对已获得特殊项目经营权，但产业专项规划用途与土地用途不符的特殊项目用地（如加油加气站等）按原用途、土地剩余年限评估价格进行收储，用地收储后以出让市场溢价的60%对原土地使用权人进行收储补偿，收储成本最高不得超过该宗用地出让起拍价。</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黑体" w:hAnsi="黑体" w:eastAsia="黑体" w:cs="仿宋"/>
          <w:sz w:val="32"/>
          <w:szCs w:val="32"/>
        </w:rPr>
      </w:pPr>
      <w:r>
        <w:rPr>
          <w:rFonts w:hint="eastAsia" w:ascii="黑体" w:hAnsi="黑体" w:eastAsia="黑体" w:cs="仿宋"/>
          <w:sz w:val="32"/>
          <w:szCs w:val="32"/>
        </w:rPr>
        <w:t>六、关于集体留用地收储后出让的收益分配</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对现有集体留用地，无法自行进行开发利用的，可由农村集体经济组织申请征转为国有建设用地并纳入政府储备管理，土地出让用途为工业用途的，其土地出让区级纯收益全部返还农村集体经济组织；</w:t>
      </w:r>
      <w:bookmarkStart w:id="1" w:name="_Hlk118992370"/>
      <w:r>
        <w:rPr>
          <w:rFonts w:hint="eastAsia" w:ascii="仿宋" w:hAnsi="仿宋" w:eastAsia="仿宋" w:cs="仿宋"/>
          <w:sz w:val="32"/>
          <w:szCs w:val="32"/>
        </w:rPr>
        <w:t>土地出让用途为商业、住宅的，其土地出让区级纯收益分配比例为区政府</w:t>
      </w:r>
      <w:r>
        <w:rPr>
          <w:rFonts w:ascii="仿宋" w:hAnsi="仿宋" w:eastAsia="仿宋" w:cs="仿宋"/>
          <w:sz w:val="32"/>
          <w:szCs w:val="32"/>
        </w:rPr>
        <w:t>15</w:t>
      </w:r>
      <w:r>
        <w:rPr>
          <w:rFonts w:hint="eastAsia" w:ascii="仿宋" w:hAnsi="仿宋" w:eastAsia="仿宋" w:cs="仿宋"/>
          <w:sz w:val="32"/>
          <w:szCs w:val="32"/>
        </w:rPr>
        <w:t>%，属地街道</w:t>
      </w:r>
      <w:r>
        <w:rPr>
          <w:rFonts w:ascii="仿宋" w:hAnsi="仿宋" w:eastAsia="仿宋" w:cs="仿宋"/>
          <w:sz w:val="32"/>
          <w:szCs w:val="32"/>
        </w:rPr>
        <w:t>5</w:t>
      </w:r>
      <w:r>
        <w:rPr>
          <w:rFonts w:hint="eastAsia" w:ascii="仿宋" w:hAnsi="仿宋" w:eastAsia="仿宋" w:cs="仿宋"/>
          <w:sz w:val="32"/>
          <w:szCs w:val="32"/>
        </w:rPr>
        <w:t>%，农村集体经济组织</w:t>
      </w:r>
      <w:r>
        <w:rPr>
          <w:rFonts w:ascii="仿宋" w:hAnsi="仿宋" w:eastAsia="仿宋" w:cs="仿宋"/>
          <w:sz w:val="32"/>
          <w:szCs w:val="32"/>
        </w:rPr>
        <w:t>80</w:t>
      </w:r>
      <w:r>
        <w:rPr>
          <w:rFonts w:hint="eastAsia" w:ascii="仿宋" w:hAnsi="仿宋" w:eastAsia="仿宋" w:cs="仿宋"/>
          <w:sz w:val="32"/>
          <w:szCs w:val="32"/>
        </w:rPr>
        <w:t>%（收益部分农村集体经济组织应专项用于支持村 集体基础设施、公益事业及集体经济发展等）；</w:t>
      </w:r>
      <w:r>
        <w:rPr>
          <w:rFonts w:hint="eastAsia" w:ascii="仿宋_GB2312" w:hAnsi="仿宋" w:eastAsia="仿宋_GB2312" w:cs="仿宋"/>
          <w:sz w:val="32"/>
          <w:szCs w:val="32"/>
        </w:rPr>
        <w:t>对已获得特殊项目经营权，但产业专项规划用途与土地用途不符的特殊项目用地（如加油加气站等）</w:t>
      </w:r>
      <w:r>
        <w:rPr>
          <w:rFonts w:hint="eastAsia" w:ascii="仿宋" w:hAnsi="仿宋" w:eastAsia="仿宋" w:cs="仿宋"/>
          <w:sz w:val="32"/>
          <w:szCs w:val="32"/>
        </w:rPr>
        <w:t>，土地出让区级纯收益分配比例为区政府</w:t>
      </w:r>
      <w:r>
        <w:rPr>
          <w:rFonts w:ascii="仿宋" w:hAnsi="仿宋" w:eastAsia="仿宋" w:cs="仿宋"/>
          <w:sz w:val="32"/>
          <w:szCs w:val="32"/>
        </w:rPr>
        <w:t>40</w:t>
      </w:r>
      <w:r>
        <w:rPr>
          <w:rFonts w:hint="eastAsia" w:ascii="仿宋" w:hAnsi="仿宋" w:eastAsia="仿宋" w:cs="仿宋"/>
          <w:sz w:val="32"/>
          <w:szCs w:val="32"/>
        </w:rPr>
        <w:t>%，属地街道1</w:t>
      </w:r>
      <w:r>
        <w:rPr>
          <w:rFonts w:ascii="仿宋" w:hAnsi="仿宋" w:eastAsia="仿宋" w:cs="仿宋"/>
          <w:sz w:val="32"/>
          <w:szCs w:val="32"/>
        </w:rPr>
        <w:t>0</w:t>
      </w:r>
      <w:r>
        <w:rPr>
          <w:rFonts w:hint="eastAsia" w:ascii="仿宋" w:hAnsi="仿宋" w:eastAsia="仿宋" w:cs="仿宋"/>
          <w:sz w:val="32"/>
          <w:szCs w:val="32"/>
        </w:rPr>
        <w:t>%，农村集体经济组织5</w:t>
      </w:r>
      <w:r>
        <w:rPr>
          <w:rFonts w:ascii="仿宋" w:hAnsi="仿宋" w:eastAsia="仿宋" w:cs="仿宋"/>
          <w:sz w:val="32"/>
          <w:szCs w:val="32"/>
        </w:rPr>
        <w:t>0</w:t>
      </w:r>
      <w:r>
        <w:rPr>
          <w:rFonts w:hint="eastAsia" w:ascii="仿宋" w:hAnsi="仿宋" w:eastAsia="仿宋" w:cs="仿宋"/>
          <w:sz w:val="32"/>
          <w:szCs w:val="32"/>
        </w:rPr>
        <w:t>%（收益部分农村集体经济组织应专项用于支持村 集体基础设施、公益事业及集体经济发展）。</w:t>
      </w:r>
      <w:bookmarkEnd w:id="1"/>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七、</w:t>
      </w:r>
      <w:r>
        <w:rPr>
          <w:rFonts w:hint="eastAsia" w:ascii="黑体" w:hAnsi="黑体" w:eastAsia="黑体" w:cs="黑体"/>
          <w:sz w:val="32"/>
          <w:szCs w:val="32"/>
          <w:lang w:eastAsia="zh-CN"/>
        </w:rPr>
        <w:t>名词解释</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textAlignment w:val="auto"/>
        <w:outlineLvl w:val="9"/>
        <w:rPr>
          <w:rFonts w:ascii="仿宋" w:hAnsi="仿宋" w:eastAsia="仿宋" w:cs="仿宋"/>
          <w:sz w:val="32"/>
          <w:szCs w:val="32"/>
          <w:shd w:val="clear" w:color="auto" w:fill="FFFFFF"/>
        </w:rPr>
      </w:pPr>
      <w:r>
        <w:rPr>
          <w:rFonts w:hint="eastAsia" w:ascii="仿宋_GB2312" w:hAnsi="仿宋_GB2312" w:eastAsia="仿宋_GB2312" w:cs="仿宋_GB2312"/>
          <w:sz w:val="32"/>
          <w:szCs w:val="32"/>
        </w:rPr>
        <w:t>本意见中，区级</w:t>
      </w:r>
      <w:r>
        <w:rPr>
          <w:rFonts w:hint="eastAsia" w:ascii="仿宋_GB2312" w:hAnsi="仿宋_GB2312" w:eastAsia="仿宋_GB2312" w:cs="仿宋_GB2312"/>
          <w:sz w:val="32"/>
          <w:szCs w:val="32"/>
          <w:shd w:val="clear" w:color="auto" w:fill="FFFFFF"/>
        </w:rPr>
        <w:t>土地出让纯收益指土地出让金扣除前期土地成本（征地报批、三费补偿、征收房屋补偿等成本）后的费用的区级分成部分。取地成本指土地使用权人取得土地的价款和取得土地时应由使用权人缴纳的税费。土地出让溢价指土地出让招拍挂过程中，最终成交出让价格减去土地出让时起始价。收储成本指土地收储价与补偿价的总和。</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hint="eastAsia" w:ascii="仿宋_GB2312" w:hAnsi="仿宋" w:cs="仿宋"/>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hint="eastAsia" w:ascii="仿宋_GB2312" w:hAnsi="仿宋" w:cs="仿宋"/>
          <w:sz w:val="32"/>
          <w:szCs w:val="32"/>
        </w:rPr>
      </w:pPr>
      <w:r>
        <w:rPr>
          <w:rFonts w:hint="eastAsia" w:ascii="仿宋_GB2312" w:hAnsi="仿宋" w:cs="仿宋"/>
          <w:sz w:val="32"/>
          <w:szCs w:val="32"/>
        </w:rPr>
        <w:t xml:space="preserve"> </w:t>
      </w:r>
      <w:r>
        <w:rPr>
          <w:rFonts w:ascii="仿宋_GB2312" w:hAnsi="仿宋" w:cs="仿宋"/>
          <w:sz w:val="32"/>
          <w:szCs w:val="32"/>
        </w:rPr>
        <w:t xml:space="preserve">      </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本意见自发布之日起试行，有效期至2025年  月  日。</w:t>
      </w:r>
    </w:p>
    <w:p>
      <w:pPr>
        <w:pStyle w:val="4"/>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outlineLvl w:val="9"/>
      </w:pPr>
      <w:r>
        <w:rPr>
          <w:rFonts w:hint="eastAsia" w:ascii="仿宋_GB2312" w:hAnsi="仿宋" w:eastAsia="仿宋_GB2312" w:cs="仿宋"/>
          <w:sz w:val="32"/>
          <w:szCs w:val="32"/>
          <w:shd w:val="clear" w:color="auto" w:fill="FFFFFF"/>
        </w:rPr>
        <w:t>如本意见发布后上级出台相关的文件、法律法规与本意见不一致的，则以上级文件为准。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rPr>
          <w:rFonts w:ascii="仿宋_GB2312" w:hAnsi="仿宋" w:eastAsia="仿宋_GB2312" w:cs="仿宋"/>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textAlignment w:val="auto"/>
        <w:outlineLvl w:val="9"/>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46A56"/>
    <w:rsid w:val="002237B1"/>
    <w:rsid w:val="00622A26"/>
    <w:rsid w:val="009A2273"/>
    <w:rsid w:val="00A215D5"/>
    <w:rsid w:val="00A95F8A"/>
    <w:rsid w:val="00AF684D"/>
    <w:rsid w:val="00E07EE5"/>
    <w:rsid w:val="010E55C4"/>
    <w:rsid w:val="01276EBE"/>
    <w:rsid w:val="01355638"/>
    <w:rsid w:val="019E5291"/>
    <w:rsid w:val="01AC3892"/>
    <w:rsid w:val="01AD1C61"/>
    <w:rsid w:val="01D22962"/>
    <w:rsid w:val="02182AA7"/>
    <w:rsid w:val="023064CD"/>
    <w:rsid w:val="02505287"/>
    <w:rsid w:val="02531FEC"/>
    <w:rsid w:val="028063B3"/>
    <w:rsid w:val="02976A99"/>
    <w:rsid w:val="029D38FD"/>
    <w:rsid w:val="02A023BB"/>
    <w:rsid w:val="02B90F6E"/>
    <w:rsid w:val="02CF33B0"/>
    <w:rsid w:val="03156654"/>
    <w:rsid w:val="0327442C"/>
    <w:rsid w:val="03340A6F"/>
    <w:rsid w:val="035D111D"/>
    <w:rsid w:val="037027CD"/>
    <w:rsid w:val="038245B2"/>
    <w:rsid w:val="03944A98"/>
    <w:rsid w:val="03C41274"/>
    <w:rsid w:val="03F63A81"/>
    <w:rsid w:val="040D606F"/>
    <w:rsid w:val="04512543"/>
    <w:rsid w:val="04784E2F"/>
    <w:rsid w:val="04825AD7"/>
    <w:rsid w:val="04907AB5"/>
    <w:rsid w:val="04A16198"/>
    <w:rsid w:val="04A63FC6"/>
    <w:rsid w:val="04B4056D"/>
    <w:rsid w:val="04BD5B41"/>
    <w:rsid w:val="04BF11A1"/>
    <w:rsid w:val="04C405E4"/>
    <w:rsid w:val="04D80580"/>
    <w:rsid w:val="04DB017E"/>
    <w:rsid w:val="04DE75B7"/>
    <w:rsid w:val="04EB638E"/>
    <w:rsid w:val="053A24D4"/>
    <w:rsid w:val="05660832"/>
    <w:rsid w:val="05BC4203"/>
    <w:rsid w:val="05F1016D"/>
    <w:rsid w:val="061A465D"/>
    <w:rsid w:val="06325B13"/>
    <w:rsid w:val="063F65E9"/>
    <w:rsid w:val="0640472C"/>
    <w:rsid w:val="065A53F4"/>
    <w:rsid w:val="06723FCC"/>
    <w:rsid w:val="068373A0"/>
    <w:rsid w:val="06E21D02"/>
    <w:rsid w:val="06F17720"/>
    <w:rsid w:val="06F21B0D"/>
    <w:rsid w:val="075957FF"/>
    <w:rsid w:val="07B4073D"/>
    <w:rsid w:val="07E25585"/>
    <w:rsid w:val="08580B3F"/>
    <w:rsid w:val="087A090D"/>
    <w:rsid w:val="08BE7965"/>
    <w:rsid w:val="08D538AB"/>
    <w:rsid w:val="09027E52"/>
    <w:rsid w:val="09AE6BFE"/>
    <w:rsid w:val="0A32348B"/>
    <w:rsid w:val="0A3A4EBD"/>
    <w:rsid w:val="0A44597D"/>
    <w:rsid w:val="0A506321"/>
    <w:rsid w:val="0A8234E3"/>
    <w:rsid w:val="0A964FD3"/>
    <w:rsid w:val="0A99546F"/>
    <w:rsid w:val="0ABA1399"/>
    <w:rsid w:val="0B1C3D7F"/>
    <w:rsid w:val="0B27301F"/>
    <w:rsid w:val="0B4D1543"/>
    <w:rsid w:val="0B5878A0"/>
    <w:rsid w:val="0B5C61FA"/>
    <w:rsid w:val="0BC1310D"/>
    <w:rsid w:val="0BF24BAC"/>
    <w:rsid w:val="0BF657C5"/>
    <w:rsid w:val="0C162496"/>
    <w:rsid w:val="0C2C30F9"/>
    <w:rsid w:val="0C3D769E"/>
    <w:rsid w:val="0C423064"/>
    <w:rsid w:val="0C61561A"/>
    <w:rsid w:val="0C765DA5"/>
    <w:rsid w:val="0CB358B1"/>
    <w:rsid w:val="0CDD070B"/>
    <w:rsid w:val="0CF150F9"/>
    <w:rsid w:val="0CF4282E"/>
    <w:rsid w:val="0D232568"/>
    <w:rsid w:val="0D2C124B"/>
    <w:rsid w:val="0D335ECB"/>
    <w:rsid w:val="0D95252F"/>
    <w:rsid w:val="0D9C13AF"/>
    <w:rsid w:val="0DB23D51"/>
    <w:rsid w:val="0DBC0AC4"/>
    <w:rsid w:val="0DEF6ABD"/>
    <w:rsid w:val="0DF017B9"/>
    <w:rsid w:val="0E2F449E"/>
    <w:rsid w:val="0E307D16"/>
    <w:rsid w:val="0E443AB4"/>
    <w:rsid w:val="0E7B4321"/>
    <w:rsid w:val="0EA7656E"/>
    <w:rsid w:val="0EBD69FD"/>
    <w:rsid w:val="0ECD1EF9"/>
    <w:rsid w:val="0EE92911"/>
    <w:rsid w:val="0F0C478B"/>
    <w:rsid w:val="0F266435"/>
    <w:rsid w:val="0F45422D"/>
    <w:rsid w:val="0F5F3A0F"/>
    <w:rsid w:val="0F9A3673"/>
    <w:rsid w:val="0FB42034"/>
    <w:rsid w:val="0FC94163"/>
    <w:rsid w:val="0FCA3591"/>
    <w:rsid w:val="100C5143"/>
    <w:rsid w:val="101E1E30"/>
    <w:rsid w:val="102E43AA"/>
    <w:rsid w:val="105C06A1"/>
    <w:rsid w:val="107E4F99"/>
    <w:rsid w:val="10962BD3"/>
    <w:rsid w:val="10CA42A1"/>
    <w:rsid w:val="10E944FD"/>
    <w:rsid w:val="11016705"/>
    <w:rsid w:val="114423AB"/>
    <w:rsid w:val="116F0BF3"/>
    <w:rsid w:val="119B15FD"/>
    <w:rsid w:val="11C1143E"/>
    <w:rsid w:val="11CA324B"/>
    <w:rsid w:val="11DD2990"/>
    <w:rsid w:val="1214529E"/>
    <w:rsid w:val="12224989"/>
    <w:rsid w:val="125A6B38"/>
    <w:rsid w:val="1263045A"/>
    <w:rsid w:val="13041CAE"/>
    <w:rsid w:val="130C1E96"/>
    <w:rsid w:val="131E353A"/>
    <w:rsid w:val="132A569C"/>
    <w:rsid w:val="134F2345"/>
    <w:rsid w:val="13565659"/>
    <w:rsid w:val="13635AB2"/>
    <w:rsid w:val="139F757E"/>
    <w:rsid w:val="13A133FC"/>
    <w:rsid w:val="13C07FC5"/>
    <w:rsid w:val="13CD2DC4"/>
    <w:rsid w:val="13E32897"/>
    <w:rsid w:val="1401304C"/>
    <w:rsid w:val="146B7424"/>
    <w:rsid w:val="14713D2F"/>
    <w:rsid w:val="147508CC"/>
    <w:rsid w:val="148A703A"/>
    <w:rsid w:val="14C03865"/>
    <w:rsid w:val="14C93042"/>
    <w:rsid w:val="159D6E77"/>
    <w:rsid w:val="159E6C3B"/>
    <w:rsid w:val="15A35DA2"/>
    <w:rsid w:val="15A66C33"/>
    <w:rsid w:val="15BB47DB"/>
    <w:rsid w:val="15F93F7B"/>
    <w:rsid w:val="16113B8C"/>
    <w:rsid w:val="161230F5"/>
    <w:rsid w:val="165D3A20"/>
    <w:rsid w:val="16832F10"/>
    <w:rsid w:val="16A86777"/>
    <w:rsid w:val="16BF2A38"/>
    <w:rsid w:val="16C34FFA"/>
    <w:rsid w:val="17033941"/>
    <w:rsid w:val="170344EA"/>
    <w:rsid w:val="17086E05"/>
    <w:rsid w:val="170C62E6"/>
    <w:rsid w:val="172D6004"/>
    <w:rsid w:val="174A0608"/>
    <w:rsid w:val="17643C1B"/>
    <w:rsid w:val="17667C16"/>
    <w:rsid w:val="17BE12FA"/>
    <w:rsid w:val="17C011A8"/>
    <w:rsid w:val="17D5728D"/>
    <w:rsid w:val="180E2473"/>
    <w:rsid w:val="1825700F"/>
    <w:rsid w:val="187B36FE"/>
    <w:rsid w:val="187F525A"/>
    <w:rsid w:val="189C2723"/>
    <w:rsid w:val="18D95C18"/>
    <w:rsid w:val="18DA46F2"/>
    <w:rsid w:val="194E4030"/>
    <w:rsid w:val="195A4B0A"/>
    <w:rsid w:val="19687D16"/>
    <w:rsid w:val="19CC3684"/>
    <w:rsid w:val="1A0B5BD6"/>
    <w:rsid w:val="1A1F0A21"/>
    <w:rsid w:val="1A610B6E"/>
    <w:rsid w:val="1A6C1E1C"/>
    <w:rsid w:val="1A720AF2"/>
    <w:rsid w:val="1A95487D"/>
    <w:rsid w:val="1A984477"/>
    <w:rsid w:val="1AAD4DD9"/>
    <w:rsid w:val="1AE67D9C"/>
    <w:rsid w:val="1B120088"/>
    <w:rsid w:val="1B5C26DE"/>
    <w:rsid w:val="1B867994"/>
    <w:rsid w:val="1B8C623B"/>
    <w:rsid w:val="1BAA584D"/>
    <w:rsid w:val="1BC9117D"/>
    <w:rsid w:val="1BF03B67"/>
    <w:rsid w:val="1C320F82"/>
    <w:rsid w:val="1C57761B"/>
    <w:rsid w:val="1C790AF8"/>
    <w:rsid w:val="1C7E7B4C"/>
    <w:rsid w:val="1D510068"/>
    <w:rsid w:val="1D5D5A47"/>
    <w:rsid w:val="1DA06D97"/>
    <w:rsid w:val="1DB975BB"/>
    <w:rsid w:val="1DD023EA"/>
    <w:rsid w:val="1E455579"/>
    <w:rsid w:val="1E9F7654"/>
    <w:rsid w:val="1EA535CD"/>
    <w:rsid w:val="1EBF4D0F"/>
    <w:rsid w:val="1EC40F62"/>
    <w:rsid w:val="1EC76903"/>
    <w:rsid w:val="1ED55FF8"/>
    <w:rsid w:val="1ED72CA4"/>
    <w:rsid w:val="1EE62785"/>
    <w:rsid w:val="1EF00D61"/>
    <w:rsid w:val="1F07557E"/>
    <w:rsid w:val="1F19433A"/>
    <w:rsid w:val="1F280082"/>
    <w:rsid w:val="1F5378D5"/>
    <w:rsid w:val="1F806D18"/>
    <w:rsid w:val="1FC452DA"/>
    <w:rsid w:val="1FD7775B"/>
    <w:rsid w:val="1FE65324"/>
    <w:rsid w:val="1FF03240"/>
    <w:rsid w:val="1FF42516"/>
    <w:rsid w:val="205C1D39"/>
    <w:rsid w:val="20A320E2"/>
    <w:rsid w:val="20B23017"/>
    <w:rsid w:val="20F624A4"/>
    <w:rsid w:val="20FA2714"/>
    <w:rsid w:val="21121982"/>
    <w:rsid w:val="2114399C"/>
    <w:rsid w:val="21A2052B"/>
    <w:rsid w:val="21B73184"/>
    <w:rsid w:val="21CB238A"/>
    <w:rsid w:val="21F96578"/>
    <w:rsid w:val="21FC456D"/>
    <w:rsid w:val="22110107"/>
    <w:rsid w:val="22AF5F0E"/>
    <w:rsid w:val="22CC42D1"/>
    <w:rsid w:val="22EE3C11"/>
    <w:rsid w:val="23097F5A"/>
    <w:rsid w:val="233D2227"/>
    <w:rsid w:val="23561FC1"/>
    <w:rsid w:val="23660EAD"/>
    <w:rsid w:val="23D961B0"/>
    <w:rsid w:val="23F965B9"/>
    <w:rsid w:val="241606A1"/>
    <w:rsid w:val="241A05C3"/>
    <w:rsid w:val="246B2D44"/>
    <w:rsid w:val="248067EC"/>
    <w:rsid w:val="249A4ABA"/>
    <w:rsid w:val="24BE3ECD"/>
    <w:rsid w:val="24E1459D"/>
    <w:rsid w:val="253D42EE"/>
    <w:rsid w:val="25497CBD"/>
    <w:rsid w:val="254B1A23"/>
    <w:rsid w:val="25506731"/>
    <w:rsid w:val="255341CE"/>
    <w:rsid w:val="258D472B"/>
    <w:rsid w:val="25B618C5"/>
    <w:rsid w:val="25D707E8"/>
    <w:rsid w:val="25DC7456"/>
    <w:rsid w:val="25E25EFF"/>
    <w:rsid w:val="25E85ACC"/>
    <w:rsid w:val="26025324"/>
    <w:rsid w:val="261D562A"/>
    <w:rsid w:val="26556993"/>
    <w:rsid w:val="26B82115"/>
    <w:rsid w:val="26F401FF"/>
    <w:rsid w:val="26FA638C"/>
    <w:rsid w:val="27273046"/>
    <w:rsid w:val="277B084C"/>
    <w:rsid w:val="27D83244"/>
    <w:rsid w:val="27E43315"/>
    <w:rsid w:val="28083856"/>
    <w:rsid w:val="282B5048"/>
    <w:rsid w:val="28424EA5"/>
    <w:rsid w:val="284A6535"/>
    <w:rsid w:val="28690288"/>
    <w:rsid w:val="28815714"/>
    <w:rsid w:val="288D41AB"/>
    <w:rsid w:val="28B04434"/>
    <w:rsid w:val="28BE0DE6"/>
    <w:rsid w:val="293A3C9B"/>
    <w:rsid w:val="29951268"/>
    <w:rsid w:val="29A8194B"/>
    <w:rsid w:val="29C2784F"/>
    <w:rsid w:val="2A3E61B6"/>
    <w:rsid w:val="2A440725"/>
    <w:rsid w:val="2A5E118D"/>
    <w:rsid w:val="2B1442A3"/>
    <w:rsid w:val="2B2B0236"/>
    <w:rsid w:val="2B386979"/>
    <w:rsid w:val="2B4174F6"/>
    <w:rsid w:val="2B4664A8"/>
    <w:rsid w:val="2BC17CC0"/>
    <w:rsid w:val="2BDC1C4C"/>
    <w:rsid w:val="2BFE378A"/>
    <w:rsid w:val="2C0A33CE"/>
    <w:rsid w:val="2C2F2A0A"/>
    <w:rsid w:val="2C601D92"/>
    <w:rsid w:val="2C7E1739"/>
    <w:rsid w:val="2CA952B0"/>
    <w:rsid w:val="2CFC654F"/>
    <w:rsid w:val="2DC05BAD"/>
    <w:rsid w:val="2DEF7C14"/>
    <w:rsid w:val="2E273D8E"/>
    <w:rsid w:val="2E29788F"/>
    <w:rsid w:val="2E5A1AA2"/>
    <w:rsid w:val="2E5F46CA"/>
    <w:rsid w:val="2E692590"/>
    <w:rsid w:val="2E9F6F79"/>
    <w:rsid w:val="2EBF6FE6"/>
    <w:rsid w:val="2EE22AC6"/>
    <w:rsid w:val="2EE705E6"/>
    <w:rsid w:val="2EF95C97"/>
    <w:rsid w:val="2F086314"/>
    <w:rsid w:val="2F093CCE"/>
    <w:rsid w:val="2F102254"/>
    <w:rsid w:val="2F211F1D"/>
    <w:rsid w:val="2F3826D5"/>
    <w:rsid w:val="2F9C5D69"/>
    <w:rsid w:val="2FB80517"/>
    <w:rsid w:val="30017503"/>
    <w:rsid w:val="305D1034"/>
    <w:rsid w:val="30663A76"/>
    <w:rsid w:val="30F56611"/>
    <w:rsid w:val="311021C0"/>
    <w:rsid w:val="31353287"/>
    <w:rsid w:val="315930B4"/>
    <w:rsid w:val="31E51865"/>
    <w:rsid w:val="32061872"/>
    <w:rsid w:val="3243788C"/>
    <w:rsid w:val="324F4DB9"/>
    <w:rsid w:val="32BA23AE"/>
    <w:rsid w:val="32DB4EE4"/>
    <w:rsid w:val="331E2EAD"/>
    <w:rsid w:val="33227B6E"/>
    <w:rsid w:val="33345D00"/>
    <w:rsid w:val="334323D4"/>
    <w:rsid w:val="33593F8B"/>
    <w:rsid w:val="33872484"/>
    <w:rsid w:val="339A43E3"/>
    <w:rsid w:val="33B15083"/>
    <w:rsid w:val="33C139E2"/>
    <w:rsid w:val="33C47C62"/>
    <w:rsid w:val="33D317CF"/>
    <w:rsid w:val="33E1593D"/>
    <w:rsid w:val="33E80CEB"/>
    <w:rsid w:val="33F04AEA"/>
    <w:rsid w:val="33F743FD"/>
    <w:rsid w:val="34040D2E"/>
    <w:rsid w:val="34242A5B"/>
    <w:rsid w:val="342D4C74"/>
    <w:rsid w:val="343B5CA7"/>
    <w:rsid w:val="344B6419"/>
    <w:rsid w:val="34884231"/>
    <w:rsid w:val="34AC3794"/>
    <w:rsid w:val="34B2254D"/>
    <w:rsid w:val="35E3517C"/>
    <w:rsid w:val="35FF71FE"/>
    <w:rsid w:val="36475608"/>
    <w:rsid w:val="364F73D8"/>
    <w:rsid w:val="36665A88"/>
    <w:rsid w:val="36697E7E"/>
    <w:rsid w:val="366A66C6"/>
    <w:rsid w:val="366F761C"/>
    <w:rsid w:val="368E5A24"/>
    <w:rsid w:val="36C423F5"/>
    <w:rsid w:val="36E619A5"/>
    <w:rsid w:val="36F45937"/>
    <w:rsid w:val="371E23AB"/>
    <w:rsid w:val="37255A3A"/>
    <w:rsid w:val="37365418"/>
    <w:rsid w:val="37464720"/>
    <w:rsid w:val="375B1771"/>
    <w:rsid w:val="375C56D2"/>
    <w:rsid w:val="376115F9"/>
    <w:rsid w:val="37D65F1F"/>
    <w:rsid w:val="37FE5EAF"/>
    <w:rsid w:val="38004057"/>
    <w:rsid w:val="38164907"/>
    <w:rsid w:val="381759F2"/>
    <w:rsid w:val="38201770"/>
    <w:rsid w:val="384E6AEA"/>
    <w:rsid w:val="385E3126"/>
    <w:rsid w:val="388B67EE"/>
    <w:rsid w:val="388D0178"/>
    <w:rsid w:val="394678AF"/>
    <w:rsid w:val="39727638"/>
    <w:rsid w:val="3A474A04"/>
    <w:rsid w:val="3A5E12D9"/>
    <w:rsid w:val="3A9F695A"/>
    <w:rsid w:val="3AB21AC4"/>
    <w:rsid w:val="3B360A90"/>
    <w:rsid w:val="3BB61D8B"/>
    <w:rsid w:val="3BC10FAB"/>
    <w:rsid w:val="3BD34745"/>
    <w:rsid w:val="3C291774"/>
    <w:rsid w:val="3C460CF6"/>
    <w:rsid w:val="3C745573"/>
    <w:rsid w:val="3C911714"/>
    <w:rsid w:val="3C9C0637"/>
    <w:rsid w:val="3CA9661A"/>
    <w:rsid w:val="3CE51569"/>
    <w:rsid w:val="3CE55611"/>
    <w:rsid w:val="3CF807D5"/>
    <w:rsid w:val="3D1452AA"/>
    <w:rsid w:val="3D9D2F5B"/>
    <w:rsid w:val="3E071028"/>
    <w:rsid w:val="3E244FD6"/>
    <w:rsid w:val="3E253795"/>
    <w:rsid w:val="3E485467"/>
    <w:rsid w:val="3E632B7B"/>
    <w:rsid w:val="3E834D4D"/>
    <w:rsid w:val="3E9D2C8B"/>
    <w:rsid w:val="3F3C542D"/>
    <w:rsid w:val="3F7B14C5"/>
    <w:rsid w:val="3FA635C5"/>
    <w:rsid w:val="3FB6508D"/>
    <w:rsid w:val="3FCF3211"/>
    <w:rsid w:val="3FD411BB"/>
    <w:rsid w:val="3FD7698B"/>
    <w:rsid w:val="3FD95127"/>
    <w:rsid w:val="402B01F0"/>
    <w:rsid w:val="406533F9"/>
    <w:rsid w:val="40A862EA"/>
    <w:rsid w:val="41892057"/>
    <w:rsid w:val="418C042C"/>
    <w:rsid w:val="418F73C8"/>
    <w:rsid w:val="41C77FBD"/>
    <w:rsid w:val="422D4587"/>
    <w:rsid w:val="42354EBD"/>
    <w:rsid w:val="424E05DD"/>
    <w:rsid w:val="425E6E89"/>
    <w:rsid w:val="429118EF"/>
    <w:rsid w:val="438D3958"/>
    <w:rsid w:val="43D139A4"/>
    <w:rsid w:val="43DB47D3"/>
    <w:rsid w:val="43DE56B5"/>
    <w:rsid w:val="43EF4A31"/>
    <w:rsid w:val="44130FE5"/>
    <w:rsid w:val="442E1578"/>
    <w:rsid w:val="4478724A"/>
    <w:rsid w:val="44796D14"/>
    <w:rsid w:val="44840F63"/>
    <w:rsid w:val="44AC0D09"/>
    <w:rsid w:val="44C7136D"/>
    <w:rsid w:val="44D548A4"/>
    <w:rsid w:val="44E5340B"/>
    <w:rsid w:val="450E027D"/>
    <w:rsid w:val="457211F3"/>
    <w:rsid w:val="45746A56"/>
    <w:rsid w:val="457D012F"/>
    <w:rsid w:val="457E0AE9"/>
    <w:rsid w:val="45DD2A99"/>
    <w:rsid w:val="45E77566"/>
    <w:rsid w:val="460B26F1"/>
    <w:rsid w:val="46190820"/>
    <w:rsid w:val="465A2CC2"/>
    <w:rsid w:val="46D82628"/>
    <w:rsid w:val="46F16270"/>
    <w:rsid w:val="46F71370"/>
    <w:rsid w:val="476002C3"/>
    <w:rsid w:val="47637541"/>
    <w:rsid w:val="47885B0A"/>
    <w:rsid w:val="47ED4521"/>
    <w:rsid w:val="47F11B8D"/>
    <w:rsid w:val="48034B5E"/>
    <w:rsid w:val="48137729"/>
    <w:rsid w:val="481B4C09"/>
    <w:rsid w:val="483F20D6"/>
    <w:rsid w:val="48687666"/>
    <w:rsid w:val="48A440C4"/>
    <w:rsid w:val="48B63E7F"/>
    <w:rsid w:val="48C15A25"/>
    <w:rsid w:val="49312DBB"/>
    <w:rsid w:val="49337141"/>
    <w:rsid w:val="496A281F"/>
    <w:rsid w:val="49774333"/>
    <w:rsid w:val="498E7F78"/>
    <w:rsid w:val="49AF6E2F"/>
    <w:rsid w:val="49CA38CD"/>
    <w:rsid w:val="49CF48B7"/>
    <w:rsid w:val="49E00B27"/>
    <w:rsid w:val="49EE1092"/>
    <w:rsid w:val="4A01325A"/>
    <w:rsid w:val="4A365BD4"/>
    <w:rsid w:val="4A712A6B"/>
    <w:rsid w:val="4A757D04"/>
    <w:rsid w:val="4AC5694D"/>
    <w:rsid w:val="4AE967B2"/>
    <w:rsid w:val="4AEB58FD"/>
    <w:rsid w:val="4B0E1BAD"/>
    <w:rsid w:val="4B497471"/>
    <w:rsid w:val="4BA20572"/>
    <w:rsid w:val="4BB90187"/>
    <w:rsid w:val="4BC2781A"/>
    <w:rsid w:val="4BE32CB2"/>
    <w:rsid w:val="4C5C2441"/>
    <w:rsid w:val="4C800FCB"/>
    <w:rsid w:val="4CCD0A45"/>
    <w:rsid w:val="4CE4436C"/>
    <w:rsid w:val="4D1D67B5"/>
    <w:rsid w:val="4D2B557E"/>
    <w:rsid w:val="4DA80AB8"/>
    <w:rsid w:val="4DB428C3"/>
    <w:rsid w:val="4DB60F50"/>
    <w:rsid w:val="4DEF70F4"/>
    <w:rsid w:val="4DFF414A"/>
    <w:rsid w:val="4E390B42"/>
    <w:rsid w:val="4E4A3254"/>
    <w:rsid w:val="4E533BFC"/>
    <w:rsid w:val="4E585404"/>
    <w:rsid w:val="4E5C2161"/>
    <w:rsid w:val="4E696792"/>
    <w:rsid w:val="4E8611F1"/>
    <w:rsid w:val="4EA80088"/>
    <w:rsid w:val="4EA94031"/>
    <w:rsid w:val="4EAA1C1B"/>
    <w:rsid w:val="4EF62611"/>
    <w:rsid w:val="4F5F7633"/>
    <w:rsid w:val="4F665D58"/>
    <w:rsid w:val="4F934C8D"/>
    <w:rsid w:val="4FA745F1"/>
    <w:rsid w:val="4FDB41DE"/>
    <w:rsid w:val="4FE96B56"/>
    <w:rsid w:val="501C29B0"/>
    <w:rsid w:val="50401B5E"/>
    <w:rsid w:val="50472747"/>
    <w:rsid w:val="504C3B18"/>
    <w:rsid w:val="50767A84"/>
    <w:rsid w:val="50D04D99"/>
    <w:rsid w:val="5127674B"/>
    <w:rsid w:val="514D6407"/>
    <w:rsid w:val="51802246"/>
    <w:rsid w:val="51A60304"/>
    <w:rsid w:val="51AA53D7"/>
    <w:rsid w:val="51AF7F44"/>
    <w:rsid w:val="51BB2556"/>
    <w:rsid w:val="51F046F1"/>
    <w:rsid w:val="51FC6A18"/>
    <w:rsid w:val="521B258A"/>
    <w:rsid w:val="52374FDD"/>
    <w:rsid w:val="524E6D01"/>
    <w:rsid w:val="52862C72"/>
    <w:rsid w:val="52F9797A"/>
    <w:rsid w:val="53114CD7"/>
    <w:rsid w:val="5364794E"/>
    <w:rsid w:val="536B4028"/>
    <w:rsid w:val="53A16B4B"/>
    <w:rsid w:val="53BA1A8A"/>
    <w:rsid w:val="53D22959"/>
    <w:rsid w:val="53DB618F"/>
    <w:rsid w:val="53F715D3"/>
    <w:rsid w:val="540B78BA"/>
    <w:rsid w:val="54342DC2"/>
    <w:rsid w:val="543B0CAF"/>
    <w:rsid w:val="544260E4"/>
    <w:rsid w:val="54564C75"/>
    <w:rsid w:val="54C53E32"/>
    <w:rsid w:val="55682D92"/>
    <w:rsid w:val="5576217D"/>
    <w:rsid w:val="55875D10"/>
    <w:rsid w:val="55BF5985"/>
    <w:rsid w:val="55F4772C"/>
    <w:rsid w:val="560059BA"/>
    <w:rsid w:val="56083831"/>
    <w:rsid w:val="562546FC"/>
    <w:rsid w:val="56355F5A"/>
    <w:rsid w:val="566A5A91"/>
    <w:rsid w:val="56712068"/>
    <w:rsid w:val="568D0585"/>
    <w:rsid w:val="56D5026A"/>
    <w:rsid w:val="56D616B6"/>
    <w:rsid w:val="571F05BA"/>
    <w:rsid w:val="57280C00"/>
    <w:rsid w:val="5734205C"/>
    <w:rsid w:val="573E2994"/>
    <w:rsid w:val="57424C61"/>
    <w:rsid w:val="574951D6"/>
    <w:rsid w:val="57A72A57"/>
    <w:rsid w:val="57D85B95"/>
    <w:rsid w:val="58077A46"/>
    <w:rsid w:val="58485BD0"/>
    <w:rsid w:val="586630FA"/>
    <w:rsid w:val="58666EC7"/>
    <w:rsid w:val="58D62696"/>
    <w:rsid w:val="58F416B3"/>
    <w:rsid w:val="58FF0072"/>
    <w:rsid w:val="590626B1"/>
    <w:rsid w:val="591E1AEF"/>
    <w:rsid w:val="595C1EC8"/>
    <w:rsid w:val="596323D9"/>
    <w:rsid w:val="59AA06B1"/>
    <w:rsid w:val="59AD3283"/>
    <w:rsid w:val="59B70499"/>
    <w:rsid w:val="59BD7822"/>
    <w:rsid w:val="59BE283E"/>
    <w:rsid w:val="59DC6C60"/>
    <w:rsid w:val="59F6649C"/>
    <w:rsid w:val="5A842239"/>
    <w:rsid w:val="5AB45D33"/>
    <w:rsid w:val="5AD577C7"/>
    <w:rsid w:val="5AE62472"/>
    <w:rsid w:val="5AED5A09"/>
    <w:rsid w:val="5AEE706B"/>
    <w:rsid w:val="5B3A76E9"/>
    <w:rsid w:val="5B4611A2"/>
    <w:rsid w:val="5B775CB6"/>
    <w:rsid w:val="5B881F4D"/>
    <w:rsid w:val="5B8A449F"/>
    <w:rsid w:val="5BCA2548"/>
    <w:rsid w:val="5BCB3064"/>
    <w:rsid w:val="5BD60013"/>
    <w:rsid w:val="5C3B4EC3"/>
    <w:rsid w:val="5C550713"/>
    <w:rsid w:val="5C6C675E"/>
    <w:rsid w:val="5C80494D"/>
    <w:rsid w:val="5CB24D6A"/>
    <w:rsid w:val="5CC40659"/>
    <w:rsid w:val="5CC701F0"/>
    <w:rsid w:val="5CED5F8C"/>
    <w:rsid w:val="5CF53E75"/>
    <w:rsid w:val="5CF967C9"/>
    <w:rsid w:val="5CFD5759"/>
    <w:rsid w:val="5D194698"/>
    <w:rsid w:val="5D38792D"/>
    <w:rsid w:val="5D3A58C5"/>
    <w:rsid w:val="5D4B10E8"/>
    <w:rsid w:val="5D5B796C"/>
    <w:rsid w:val="5DC4623F"/>
    <w:rsid w:val="5DEC1B36"/>
    <w:rsid w:val="5E345277"/>
    <w:rsid w:val="5E357677"/>
    <w:rsid w:val="5E3B4CEC"/>
    <w:rsid w:val="5E611A1F"/>
    <w:rsid w:val="5EBE473F"/>
    <w:rsid w:val="5EF11CB0"/>
    <w:rsid w:val="5EF26FF1"/>
    <w:rsid w:val="5EF955AA"/>
    <w:rsid w:val="5F124F76"/>
    <w:rsid w:val="5F4304A6"/>
    <w:rsid w:val="5F4D771C"/>
    <w:rsid w:val="5F884F74"/>
    <w:rsid w:val="5F8C1DAC"/>
    <w:rsid w:val="5FCB2B3A"/>
    <w:rsid w:val="5FDB0265"/>
    <w:rsid w:val="5FF93650"/>
    <w:rsid w:val="602D386B"/>
    <w:rsid w:val="60781761"/>
    <w:rsid w:val="60950979"/>
    <w:rsid w:val="6095772C"/>
    <w:rsid w:val="60A42694"/>
    <w:rsid w:val="60B643B6"/>
    <w:rsid w:val="60EC2B2F"/>
    <w:rsid w:val="60F4351A"/>
    <w:rsid w:val="61972023"/>
    <w:rsid w:val="62616937"/>
    <w:rsid w:val="62934509"/>
    <w:rsid w:val="62936004"/>
    <w:rsid w:val="62BE461B"/>
    <w:rsid w:val="62D040BB"/>
    <w:rsid w:val="63095B01"/>
    <w:rsid w:val="636F1875"/>
    <w:rsid w:val="63765350"/>
    <w:rsid w:val="63850089"/>
    <w:rsid w:val="63A77482"/>
    <w:rsid w:val="640310D4"/>
    <w:rsid w:val="643173E2"/>
    <w:rsid w:val="64413D2B"/>
    <w:rsid w:val="644F6A49"/>
    <w:rsid w:val="64974DBA"/>
    <w:rsid w:val="64C610E3"/>
    <w:rsid w:val="651D6A18"/>
    <w:rsid w:val="654A6C35"/>
    <w:rsid w:val="655121FB"/>
    <w:rsid w:val="658E4C99"/>
    <w:rsid w:val="65B14C0F"/>
    <w:rsid w:val="65EE6EAF"/>
    <w:rsid w:val="660D4909"/>
    <w:rsid w:val="66335EE0"/>
    <w:rsid w:val="663A01B7"/>
    <w:rsid w:val="66440AE1"/>
    <w:rsid w:val="66A76D2D"/>
    <w:rsid w:val="66C35C36"/>
    <w:rsid w:val="66DB3907"/>
    <w:rsid w:val="66EA5D8C"/>
    <w:rsid w:val="66EF2355"/>
    <w:rsid w:val="67055F89"/>
    <w:rsid w:val="67BC016E"/>
    <w:rsid w:val="68C52A18"/>
    <w:rsid w:val="69087C3E"/>
    <w:rsid w:val="6931526A"/>
    <w:rsid w:val="69AE00E1"/>
    <w:rsid w:val="69B041CF"/>
    <w:rsid w:val="69BF1894"/>
    <w:rsid w:val="69C26133"/>
    <w:rsid w:val="6A111D19"/>
    <w:rsid w:val="6A2556EE"/>
    <w:rsid w:val="6A27733A"/>
    <w:rsid w:val="6A2B0A3B"/>
    <w:rsid w:val="6A78372A"/>
    <w:rsid w:val="6A9C55B2"/>
    <w:rsid w:val="6AC02B34"/>
    <w:rsid w:val="6AF9213A"/>
    <w:rsid w:val="6AFE77D5"/>
    <w:rsid w:val="6B3F524C"/>
    <w:rsid w:val="6B637455"/>
    <w:rsid w:val="6B7C4681"/>
    <w:rsid w:val="6B8B5DB6"/>
    <w:rsid w:val="6BD139B1"/>
    <w:rsid w:val="6BE84E1B"/>
    <w:rsid w:val="6C2051BC"/>
    <w:rsid w:val="6C397CE7"/>
    <w:rsid w:val="6C6569AB"/>
    <w:rsid w:val="6CAB1CA3"/>
    <w:rsid w:val="6CAE422E"/>
    <w:rsid w:val="6D057907"/>
    <w:rsid w:val="6D1645FB"/>
    <w:rsid w:val="6DB55021"/>
    <w:rsid w:val="6DB701DA"/>
    <w:rsid w:val="6DD7668E"/>
    <w:rsid w:val="6E037B9B"/>
    <w:rsid w:val="6E8C3D60"/>
    <w:rsid w:val="6EC569D7"/>
    <w:rsid w:val="6EDA13C9"/>
    <w:rsid w:val="6EF47FE7"/>
    <w:rsid w:val="6F0F5463"/>
    <w:rsid w:val="6F111A58"/>
    <w:rsid w:val="6F563402"/>
    <w:rsid w:val="6F68146B"/>
    <w:rsid w:val="6F7D7021"/>
    <w:rsid w:val="6FC7165A"/>
    <w:rsid w:val="70057784"/>
    <w:rsid w:val="70155BBE"/>
    <w:rsid w:val="701F44D8"/>
    <w:rsid w:val="70266EBB"/>
    <w:rsid w:val="702D164A"/>
    <w:rsid w:val="706A6115"/>
    <w:rsid w:val="708A74AE"/>
    <w:rsid w:val="70EE018B"/>
    <w:rsid w:val="71037F25"/>
    <w:rsid w:val="710D3FF6"/>
    <w:rsid w:val="714957AC"/>
    <w:rsid w:val="716A74AD"/>
    <w:rsid w:val="71850881"/>
    <w:rsid w:val="718F48C7"/>
    <w:rsid w:val="71BF51A6"/>
    <w:rsid w:val="71E5788C"/>
    <w:rsid w:val="71F176C6"/>
    <w:rsid w:val="72466F74"/>
    <w:rsid w:val="72533F04"/>
    <w:rsid w:val="728D062C"/>
    <w:rsid w:val="72A732B3"/>
    <w:rsid w:val="72C62F1F"/>
    <w:rsid w:val="72D118FD"/>
    <w:rsid w:val="72E0528A"/>
    <w:rsid w:val="73135F78"/>
    <w:rsid w:val="733575CB"/>
    <w:rsid w:val="733774E7"/>
    <w:rsid w:val="739F5B6B"/>
    <w:rsid w:val="73B86B3A"/>
    <w:rsid w:val="73EB760C"/>
    <w:rsid w:val="73FE6D6B"/>
    <w:rsid w:val="73FF6004"/>
    <w:rsid w:val="74063829"/>
    <w:rsid w:val="742142DD"/>
    <w:rsid w:val="743A4A32"/>
    <w:rsid w:val="745827CC"/>
    <w:rsid w:val="746E40A7"/>
    <w:rsid w:val="74710ADF"/>
    <w:rsid w:val="74794210"/>
    <w:rsid w:val="748B3C49"/>
    <w:rsid w:val="749244CF"/>
    <w:rsid w:val="749B4164"/>
    <w:rsid w:val="75105026"/>
    <w:rsid w:val="751813B2"/>
    <w:rsid w:val="753E4393"/>
    <w:rsid w:val="75407B92"/>
    <w:rsid w:val="75920AAF"/>
    <w:rsid w:val="7594505F"/>
    <w:rsid w:val="75AF5D00"/>
    <w:rsid w:val="75ED6291"/>
    <w:rsid w:val="7601599C"/>
    <w:rsid w:val="764B162A"/>
    <w:rsid w:val="76936BF4"/>
    <w:rsid w:val="76F26133"/>
    <w:rsid w:val="77BC39A5"/>
    <w:rsid w:val="77F56A9A"/>
    <w:rsid w:val="7854342D"/>
    <w:rsid w:val="787E2AFC"/>
    <w:rsid w:val="78D03E8C"/>
    <w:rsid w:val="79292B57"/>
    <w:rsid w:val="792F1B39"/>
    <w:rsid w:val="793114D2"/>
    <w:rsid w:val="795F2DB8"/>
    <w:rsid w:val="796E20E7"/>
    <w:rsid w:val="79E12FB5"/>
    <w:rsid w:val="79E8325A"/>
    <w:rsid w:val="79F57656"/>
    <w:rsid w:val="7A037D5C"/>
    <w:rsid w:val="7A122FCE"/>
    <w:rsid w:val="7A235C69"/>
    <w:rsid w:val="7A3D1C46"/>
    <w:rsid w:val="7A455D21"/>
    <w:rsid w:val="7A7A046D"/>
    <w:rsid w:val="7A87702E"/>
    <w:rsid w:val="7AA039DC"/>
    <w:rsid w:val="7AAB7DF8"/>
    <w:rsid w:val="7AC4497C"/>
    <w:rsid w:val="7B1E6424"/>
    <w:rsid w:val="7B2B5D2F"/>
    <w:rsid w:val="7B30140C"/>
    <w:rsid w:val="7B373495"/>
    <w:rsid w:val="7B535B51"/>
    <w:rsid w:val="7B5D4215"/>
    <w:rsid w:val="7B60570B"/>
    <w:rsid w:val="7B671572"/>
    <w:rsid w:val="7B90584C"/>
    <w:rsid w:val="7B950FEF"/>
    <w:rsid w:val="7BBB04E7"/>
    <w:rsid w:val="7BC60879"/>
    <w:rsid w:val="7BD05A91"/>
    <w:rsid w:val="7C0A01C9"/>
    <w:rsid w:val="7C167391"/>
    <w:rsid w:val="7C6A126C"/>
    <w:rsid w:val="7C6B4294"/>
    <w:rsid w:val="7D7741F0"/>
    <w:rsid w:val="7D820D27"/>
    <w:rsid w:val="7D971450"/>
    <w:rsid w:val="7DB3152C"/>
    <w:rsid w:val="7DC84004"/>
    <w:rsid w:val="7E0C11E3"/>
    <w:rsid w:val="7E783BCF"/>
    <w:rsid w:val="7E8633EE"/>
    <w:rsid w:val="7EAF3FCF"/>
    <w:rsid w:val="7EBC0695"/>
    <w:rsid w:val="7ED04742"/>
    <w:rsid w:val="7EFD6B4F"/>
    <w:rsid w:val="7F18699E"/>
    <w:rsid w:val="7F473C4B"/>
    <w:rsid w:val="7F4E0A6D"/>
    <w:rsid w:val="7FB522AC"/>
    <w:rsid w:val="7FC87A7C"/>
    <w:rsid w:val="7FF0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rFonts w:eastAsia="仿宋_GB2312"/>
      <w:sz w:val="18"/>
      <w:szCs w:val="18"/>
    </w:rPr>
  </w:style>
  <w:style w:type="paragraph" w:styleId="4">
    <w:name w:val="annotation text"/>
    <w:basedOn w:val="1"/>
    <w:unhideWhenUsed/>
    <w:qFormat/>
    <w:uiPriority w:val="99"/>
    <w:pPr>
      <w:jc w:val="left"/>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2023-08-01T08:26:00Z</dcterms:created>
  <dc:creator>Administrator</dc:creator>
  <cp:lastModifiedBy>Administrator</cp:lastModifiedBy>
  <dcterms:modified xsi:type="dcterms:W3CDTF">2023-08-01T08:28:32Z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