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22E" w:rsidRDefault="00CC524F">
      <w:pPr>
        <w:spacing w:line="600" w:lineRule="exact"/>
        <w:ind w:firstLineChars="200" w:firstLine="880"/>
        <w:rPr>
          <w:rFonts w:ascii="黑体" w:eastAsia="黑体" w:hAnsi="黑体" w:cs="黑体"/>
          <w:sz w:val="32"/>
          <w:szCs w:val="32"/>
        </w:rPr>
      </w:pPr>
      <w:bookmarkStart w:id="0" w:name="_GoBack"/>
      <w:bookmarkEnd w:id="0"/>
      <w:r>
        <w:rPr>
          <w:rFonts w:ascii="方正小标宋简体" w:eastAsia="方正小标宋简体" w:hAnsi="方正小标宋简体" w:cs="方正小标宋简体" w:hint="eastAsia"/>
          <w:sz w:val="44"/>
          <w:szCs w:val="44"/>
        </w:rPr>
        <w:t>濠江区不可移动文物保护管理</w:t>
      </w:r>
      <w:r>
        <w:rPr>
          <w:rFonts w:ascii="方正小标宋简体" w:eastAsia="方正小标宋简体" w:hAnsi="方正小标宋简体" w:cs="方正小标宋简体" w:hint="eastAsia"/>
          <w:sz w:val="44"/>
          <w:szCs w:val="44"/>
        </w:rPr>
        <w:t>细则</w:t>
      </w:r>
    </w:p>
    <w:p w:rsidR="0093422E" w:rsidRDefault="0093422E">
      <w:pPr>
        <w:spacing w:line="600" w:lineRule="exact"/>
        <w:ind w:firstLineChars="200" w:firstLine="640"/>
        <w:rPr>
          <w:rFonts w:ascii="黑体" w:eastAsia="黑体" w:hAnsi="黑体" w:cs="黑体"/>
          <w:sz w:val="32"/>
          <w:szCs w:val="32"/>
        </w:rPr>
      </w:pPr>
    </w:p>
    <w:p w:rsidR="0093422E" w:rsidRDefault="00CC524F">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依据《中华人民共和国文物保护法》《中华人民共和国文物保护法实施条例》等法律法规精神，为加强濠江区文物保护工作，结合我区实际，制定本制度。</w:t>
      </w:r>
    </w:p>
    <w:p w:rsidR="0093422E" w:rsidRDefault="00CC524F">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第二条</w:t>
      </w:r>
      <w:r>
        <w:rPr>
          <w:rFonts w:ascii="黑体" w:eastAsia="黑体" w:hAnsi="黑体" w:cs="黑体" w:hint="eastAsia"/>
          <w:sz w:val="32"/>
          <w:szCs w:val="32"/>
        </w:rPr>
        <w:t xml:space="preserve"> </w:t>
      </w:r>
      <w:r>
        <w:rPr>
          <w:rFonts w:ascii="仿宋" w:eastAsia="仿宋" w:hAnsi="仿宋" w:cs="仿宋" w:hint="eastAsia"/>
          <w:sz w:val="32"/>
          <w:szCs w:val="32"/>
        </w:rPr>
        <w:t>本制度的适用对象为</w:t>
      </w:r>
      <w:r>
        <w:rPr>
          <w:rFonts w:ascii="仿宋" w:eastAsia="仿宋" w:hAnsi="仿宋" w:cs="仿宋" w:hint="eastAsia"/>
          <w:sz w:val="32"/>
          <w:szCs w:val="32"/>
        </w:rPr>
        <w:t>濠江区各级文物保护单位以及尚未核定公布为文物保护单位的一般不可移动文物。</w:t>
      </w:r>
    </w:p>
    <w:p w:rsidR="0093422E" w:rsidRDefault="00CC524F">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第三条</w:t>
      </w:r>
      <w:r>
        <w:rPr>
          <w:rFonts w:ascii="黑体" w:eastAsia="黑体" w:hAnsi="黑体" w:cs="黑体" w:hint="eastAsia"/>
          <w:sz w:val="32"/>
          <w:szCs w:val="32"/>
        </w:rPr>
        <w:t xml:space="preserve"> </w:t>
      </w:r>
      <w:r>
        <w:rPr>
          <w:rFonts w:ascii="仿宋" w:eastAsia="仿宋" w:hAnsi="仿宋" w:cs="仿宋" w:hint="eastAsia"/>
          <w:sz w:val="32"/>
          <w:szCs w:val="32"/>
        </w:rPr>
        <w:t>不可移动文物自公布之日起一年内，应按照不可移动文物级别，相应开展、完善四有工作：</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 xml:space="preserve"> </w:t>
      </w:r>
      <w:r>
        <w:rPr>
          <w:rFonts w:ascii="仿宋" w:eastAsia="仿宋" w:hAnsi="仿宋" w:cs="仿宋" w:hint="eastAsia"/>
          <w:sz w:val="32"/>
          <w:szCs w:val="32"/>
        </w:rPr>
        <w:t>文物保护单位：</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划定保护范围平面图；</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作出文物保护标志；</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建立记录档案；</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明确保护管理机构或者指定专人负责管理，明确保护管理机构的负责人及日常工作对接人员。</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（二）尚未核定公布为文物保护单位的一般不可移动文物：</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作出文物保护标志；</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建立记录档案；</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明确保护管理机构或者指定专人负责管理，明确保护管理机构的负责人及日常工作对接人员。</w:t>
      </w:r>
    </w:p>
    <w:p w:rsidR="0093422E" w:rsidRDefault="00CC524F">
      <w:pPr>
        <w:spacing w:line="600" w:lineRule="exact"/>
        <w:ind w:firstLine="640"/>
        <w:rPr>
          <w:rFonts w:ascii="黑体" w:eastAsia="黑体" w:hAnsi="黑体" w:cs="黑体"/>
          <w:sz w:val="32"/>
          <w:szCs w:val="32"/>
        </w:rPr>
      </w:pPr>
      <w:r>
        <w:rPr>
          <w:rFonts w:ascii="黑体" w:eastAsia="黑体" w:hAnsi="黑体" w:cs="黑体" w:hint="eastAsia"/>
          <w:sz w:val="32"/>
          <w:szCs w:val="32"/>
        </w:rPr>
        <w:t>第四条</w:t>
      </w:r>
      <w:r>
        <w:rPr>
          <w:rFonts w:ascii="黑体" w:eastAsia="黑体" w:hAnsi="黑体" w:cs="黑体" w:hint="eastAsia"/>
          <w:sz w:val="32"/>
          <w:szCs w:val="32"/>
        </w:rPr>
        <w:t xml:space="preserve"> </w:t>
      </w:r>
      <w:r>
        <w:rPr>
          <w:rFonts w:ascii="仿宋" w:eastAsia="仿宋" w:hAnsi="仿宋" w:cs="仿宋" w:hint="eastAsia"/>
          <w:sz w:val="32"/>
          <w:szCs w:val="32"/>
        </w:rPr>
        <w:t>保护管理机构职责：</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（一）保护管理机构必须遵守国家有关文物保护的法律、</w:t>
      </w:r>
      <w:r>
        <w:rPr>
          <w:rFonts w:ascii="仿宋" w:eastAsia="仿宋" w:hAnsi="仿宋" w:cs="仿宋" w:hint="eastAsia"/>
          <w:sz w:val="32"/>
          <w:szCs w:val="32"/>
        </w:rPr>
        <w:lastRenderedPageBreak/>
        <w:t>法规的规定，在管理使用期间，对不可移动文物进行日常保养、维护，履行文物保护责任。</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（二）使用、管理不可移动文物，必须接受文物行政主管部门的指导和监督，遵守不改变文物原状的原则，保持文物的完整性和真实性。</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（三）不得擅自修缮不可移动文物，确需修缮的，应当依法报经批准，由实施单位向文物行政主管部门申报，方案</w:t>
      </w:r>
      <w:r>
        <w:rPr>
          <w:rFonts w:ascii="仿宋" w:eastAsia="仿宋" w:hAnsi="仿宋" w:cs="仿宋" w:hint="eastAsia"/>
          <w:sz w:val="32"/>
          <w:szCs w:val="32"/>
        </w:rPr>
        <w:t>同意后方可进行修缮。</w:t>
      </w:r>
    </w:p>
    <w:p w:rsidR="0093422E" w:rsidRDefault="00CC524F">
      <w:pPr>
        <w:spacing w:line="600" w:lineRule="exact"/>
        <w:ind w:firstLine="640"/>
        <w:rPr>
          <w:rFonts w:ascii="仿宋" w:eastAsia="仿宋" w:hAnsi="仿宋" w:cs="仿宋"/>
          <w:sz w:val="32"/>
          <w:szCs w:val="32"/>
          <w:shd w:val="clear" w:color="FFFFFF" w:fill="D9D9D9"/>
        </w:rPr>
      </w:pPr>
      <w:r>
        <w:rPr>
          <w:rFonts w:ascii="仿宋" w:eastAsia="仿宋" w:hAnsi="仿宋" w:cs="仿宋" w:hint="eastAsia"/>
          <w:sz w:val="32"/>
          <w:szCs w:val="32"/>
        </w:rPr>
        <w:t>（四）文物保护单位的保护范围内不得进行其他建设工程或者爆破、钻探、挖掘等作业</w:t>
      </w:r>
      <w:r>
        <w:rPr>
          <w:rFonts w:ascii="仿宋" w:eastAsia="仿宋" w:hAnsi="仿宋" w:cs="仿宋" w:hint="eastAsia"/>
          <w:sz w:val="32"/>
          <w:szCs w:val="32"/>
        </w:rPr>
        <w:t>。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w:t>
      </w:r>
      <w:r>
        <w:rPr>
          <w:rFonts w:ascii="仿宋" w:eastAsia="仿宋" w:hAnsi="仿宋" w:cs="仿宋" w:hint="eastAsia"/>
          <w:sz w:val="32"/>
          <w:szCs w:val="32"/>
        </w:rPr>
        <w:t>市人民政府批准，在批准前应当征得国务院文物行政部门同意。</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五）文物保护单位建设控制地带内修建的建筑物或者构筑物，其形式、高度、体量、色调等必须与文物保护单位的历史风貌相协调；其工程设计方案应当根据文物保护单位的级别，经相应的文物行政主管部门同意后，报自然资源行政主管部门批准。</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在不可移动文物内，不得设置危害文物保护安全、</w:t>
      </w:r>
      <w:r>
        <w:rPr>
          <w:rFonts w:ascii="仿宋" w:eastAsia="仿宋" w:hAnsi="仿宋" w:cs="仿宋" w:hint="eastAsia"/>
          <w:sz w:val="32"/>
          <w:szCs w:val="32"/>
        </w:rPr>
        <w:lastRenderedPageBreak/>
        <w:t>破坏文物历史风貌的设施，不得进行可能影响不可移动文物安全的活动。</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（七）不可移动文物建筑需制定本单位消防管理制度，每半年至少开展一次演练；建筑内严格控制使用明火，用于宗教活动场所或者</w:t>
      </w:r>
      <w:r>
        <w:rPr>
          <w:rFonts w:ascii="仿宋" w:eastAsia="仿宋" w:hAnsi="仿宋" w:cs="仿宋" w:hint="eastAsia"/>
          <w:sz w:val="32"/>
          <w:szCs w:val="32"/>
        </w:rPr>
        <w:t>民居建筑等确需使用明火时，应加强火源管理，采取有效防火措施，并由专人看管，必须做到人离火灭；落实防火、防盗、防水、防虫、防坍塌等安全防范措施；管理、保护好不可移动文物内外的构件。</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（八）如有意外发生，立即采取保护措施并报告有关单位</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属非国有不可移动文物的，应及时报告属地街道、社区、区文化广电旅游体育局。</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属国有不可移动文物的，属地街道、社区应及时报告区文化广电旅游体育局。</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（九）配合有关部门依法开展的各类文物保护检查工作。</w:t>
      </w:r>
      <w:r>
        <w:rPr>
          <w:rFonts w:ascii="仿宋" w:eastAsia="仿宋" w:hAnsi="仿宋" w:cs="仿宋" w:hint="eastAsia"/>
          <w:sz w:val="32"/>
          <w:szCs w:val="32"/>
        </w:rPr>
        <w:t xml:space="preserve">  </w:t>
      </w:r>
    </w:p>
    <w:p w:rsidR="0093422E" w:rsidRDefault="00CC524F">
      <w:pPr>
        <w:spacing w:line="600" w:lineRule="exact"/>
        <w:ind w:firstLine="640"/>
        <w:rPr>
          <w:rFonts w:ascii="黑体" w:eastAsia="黑体" w:hAnsi="黑体" w:cs="黑体"/>
          <w:sz w:val="32"/>
          <w:szCs w:val="32"/>
        </w:rPr>
      </w:pPr>
      <w:r>
        <w:rPr>
          <w:rFonts w:ascii="黑体" w:eastAsia="黑体" w:hAnsi="黑体" w:cs="黑体"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保护管理机构应定期开展巡查工作。</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（一）巡查内容</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文物保护标</w:t>
      </w:r>
      <w:r>
        <w:rPr>
          <w:rFonts w:ascii="仿宋" w:eastAsia="仿宋" w:hAnsi="仿宋" w:cs="仿宋" w:hint="eastAsia"/>
          <w:sz w:val="32"/>
          <w:szCs w:val="32"/>
        </w:rPr>
        <w:t>志及文物安全直接责任人公告公示信息牌的情况：是否有刻划、涂污或者损毁的行为。</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文物本体的保护：是否有刻划、涂污的行为，是否有擅自迁移、拆除、修缮的行为。</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文物保护单位保护范围与建设控制地带内的施工工程：是否擅自进行建设工程、爆破、钻探、挖掘等作业。</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lastRenderedPageBreak/>
        <w:t>4.</w:t>
      </w:r>
      <w:r>
        <w:rPr>
          <w:rFonts w:ascii="仿宋" w:eastAsia="仿宋" w:hAnsi="仿宋" w:cs="仿宋" w:hint="eastAsia"/>
          <w:sz w:val="32"/>
          <w:szCs w:val="32"/>
        </w:rPr>
        <w:t>文物保护工程：是否按审批的方案进行保护工程施工，修缮、迁移、重建不可移动的文物的施工单位是否取得相应的资质。</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安全情况：古建筑类的文物保护单位与尚未核定公布为文物保护单位的一般不可移动文物（包括具有火灾危险性的近现代文物建筑）是否做好防盗和防自然</w:t>
      </w:r>
      <w:r>
        <w:rPr>
          <w:rFonts w:ascii="仿宋" w:eastAsia="仿宋" w:hAnsi="仿宋" w:cs="仿宋" w:hint="eastAsia"/>
          <w:sz w:val="32"/>
          <w:szCs w:val="32"/>
        </w:rPr>
        <w:t>损毁措施，是否按规定整改安全隐患，消防设施是否有效。</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（二）巡查要求</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防火巡查：保护管理机构消防安全工作人员对不可移动文物消防安全重点部位防火工作进行每日巡查。</w:t>
      </w:r>
    </w:p>
    <w:p w:rsidR="0093422E" w:rsidRDefault="00CC524F">
      <w:pPr>
        <w:spacing w:line="60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定期巡查：保护管理机构每月至少开展一次点位全面巡查工作，</w:t>
      </w:r>
      <w:r>
        <w:rPr>
          <w:rFonts w:ascii="仿宋" w:eastAsia="仿宋" w:hAnsi="仿宋" w:cs="仿宋"/>
          <w:sz w:val="32"/>
          <w:szCs w:val="32"/>
        </w:rPr>
        <w:t>巡查时需填写</w:t>
      </w:r>
      <w:r>
        <w:rPr>
          <w:rFonts w:ascii="仿宋" w:eastAsia="仿宋" w:hAnsi="仿宋" w:cs="仿宋" w:hint="eastAsia"/>
          <w:sz w:val="32"/>
          <w:szCs w:val="32"/>
        </w:rPr>
        <w:t>工作记录</w:t>
      </w:r>
      <w:r>
        <w:rPr>
          <w:rFonts w:ascii="仿宋" w:eastAsia="仿宋" w:hAnsi="仿宋" w:cs="仿宋"/>
          <w:sz w:val="32"/>
          <w:szCs w:val="32"/>
        </w:rPr>
        <w:t>，并根据情况拍摄、保存反应实际情况的照片资料，及时将发现问题与处理情况录入表格，做好被巡查点的电子与纸质记录档案归档工作，一户一档。</w:t>
      </w:r>
      <w:r>
        <w:rPr>
          <w:rFonts w:ascii="仿宋" w:eastAsia="仿宋" w:hAnsi="仿宋" w:cs="仿宋" w:hint="eastAsia"/>
          <w:sz w:val="32"/>
          <w:szCs w:val="32"/>
        </w:rPr>
        <w:t>巡查</w:t>
      </w:r>
      <w:r>
        <w:rPr>
          <w:rFonts w:ascii="仿宋" w:eastAsia="仿宋" w:hAnsi="仿宋" w:cs="仿宋"/>
          <w:sz w:val="32"/>
          <w:szCs w:val="32"/>
        </w:rPr>
        <w:t>过程中发现的问题，应及时处置，并按有关规定及时上报。</w:t>
      </w:r>
    </w:p>
    <w:p w:rsidR="0093422E" w:rsidRDefault="00CC524F">
      <w:pPr>
        <w:spacing w:line="600" w:lineRule="exact"/>
        <w:ind w:firstLine="640"/>
        <w:rPr>
          <w:rFonts w:ascii="仿宋" w:eastAsia="仿宋" w:hAnsi="仿宋" w:cs="仿宋"/>
          <w:sz w:val="32"/>
          <w:szCs w:val="32"/>
        </w:rPr>
      </w:pPr>
      <w:r>
        <w:rPr>
          <w:rFonts w:ascii="黑体" w:eastAsia="黑体" w:hAnsi="黑体" w:cs="黑体"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本制度由濠江区文化广电旅游体育局负责解释。</w:t>
      </w:r>
    </w:p>
    <w:p w:rsidR="0093422E" w:rsidRDefault="00CC524F">
      <w:pPr>
        <w:spacing w:line="600" w:lineRule="exact"/>
        <w:ind w:firstLine="640"/>
        <w:rPr>
          <w:rFonts w:ascii="仿宋" w:eastAsia="仿宋" w:hAnsi="仿宋" w:cs="仿宋"/>
          <w:sz w:val="32"/>
          <w:szCs w:val="32"/>
        </w:rPr>
      </w:pPr>
      <w:r>
        <w:rPr>
          <w:rFonts w:ascii="黑体" w:eastAsia="黑体" w:hAnsi="黑体" w:cs="黑体" w:hint="eastAsia"/>
          <w:sz w:val="32"/>
          <w:szCs w:val="32"/>
        </w:rPr>
        <w:t>第七条</w:t>
      </w:r>
      <w:r>
        <w:rPr>
          <w:rFonts w:ascii="仿宋" w:eastAsia="仿宋" w:hAnsi="仿宋" w:cs="仿宋" w:hint="eastAsia"/>
          <w:sz w:val="32"/>
          <w:szCs w:val="32"/>
        </w:rPr>
        <w:t xml:space="preserve"> </w:t>
      </w:r>
      <w:r>
        <w:rPr>
          <w:rFonts w:ascii="仿宋" w:eastAsia="仿宋" w:hAnsi="仿宋" w:cs="仿宋"/>
          <w:sz w:val="32"/>
          <w:szCs w:val="32"/>
        </w:rPr>
        <w:t>本</w:t>
      </w:r>
      <w:r>
        <w:rPr>
          <w:rFonts w:ascii="仿宋" w:eastAsia="仿宋" w:hAnsi="仿宋" w:cs="仿宋" w:hint="eastAsia"/>
          <w:sz w:val="32"/>
          <w:szCs w:val="32"/>
        </w:rPr>
        <w:t>制度</w:t>
      </w:r>
      <w:r>
        <w:rPr>
          <w:rFonts w:ascii="仿宋" w:eastAsia="仿宋" w:hAnsi="仿宋" w:cs="仿宋"/>
          <w:sz w:val="32"/>
          <w:szCs w:val="32"/>
        </w:rPr>
        <w:t>自</w:t>
      </w:r>
      <w:r>
        <w:rPr>
          <w:rFonts w:ascii="仿宋" w:eastAsia="仿宋" w:hAnsi="仿宋" w:cs="仿宋"/>
          <w:sz w:val="32"/>
          <w:szCs w:val="32"/>
        </w:rPr>
        <w:t>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r>
        <w:rPr>
          <w:rFonts w:ascii="仿宋" w:eastAsia="仿宋" w:hAnsi="仿宋" w:cs="仿宋"/>
          <w:sz w:val="32"/>
          <w:szCs w:val="32"/>
        </w:rPr>
        <w:t>起施行</w:t>
      </w:r>
      <w:r>
        <w:rPr>
          <w:rFonts w:ascii="仿宋" w:eastAsia="仿宋" w:hAnsi="仿宋" w:cs="仿宋"/>
          <w:sz w:val="32"/>
          <w:szCs w:val="32"/>
        </w:rPr>
        <w:t>,</w:t>
      </w:r>
      <w:r>
        <w:rPr>
          <w:rFonts w:ascii="仿宋" w:eastAsia="仿宋" w:hAnsi="仿宋" w:cs="仿宋"/>
          <w:sz w:val="32"/>
          <w:szCs w:val="32"/>
        </w:rPr>
        <w:t>有效期</w:t>
      </w:r>
      <w:r>
        <w:rPr>
          <w:rFonts w:ascii="仿宋" w:eastAsia="仿宋" w:hAnsi="仿宋" w:cs="仿宋" w:hint="eastAsia"/>
          <w:sz w:val="32"/>
          <w:szCs w:val="32"/>
        </w:rPr>
        <w:t>5</w:t>
      </w:r>
      <w:r>
        <w:rPr>
          <w:rFonts w:ascii="仿宋" w:eastAsia="仿宋" w:hAnsi="仿宋" w:cs="仿宋"/>
          <w:sz w:val="32"/>
          <w:szCs w:val="32"/>
        </w:rPr>
        <w:t>年。</w:t>
      </w: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93422E">
      <w:pPr>
        <w:spacing w:line="600" w:lineRule="exact"/>
        <w:ind w:firstLine="640"/>
        <w:rPr>
          <w:rFonts w:ascii="仿宋" w:eastAsia="仿宋" w:hAnsi="仿宋" w:cs="仿宋"/>
          <w:sz w:val="32"/>
          <w:szCs w:val="32"/>
        </w:rPr>
      </w:pPr>
    </w:p>
    <w:p w:rsidR="0093422E" w:rsidRDefault="00CC524F">
      <w:pPr>
        <w:spacing w:line="120" w:lineRule="auto"/>
        <w:rPr>
          <w:rFonts w:ascii="仿宋" w:eastAsia="仿宋" w:hAnsi="仿宋" w:cs="仿宋"/>
          <w:sz w:val="30"/>
          <w:szCs w:val="30"/>
        </w:rPr>
      </w:pPr>
      <w:r>
        <w:rPr>
          <w:noProof/>
          <w:sz w:val="30"/>
        </w:rP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13970</wp:posOffset>
                </wp:positionV>
                <wp:extent cx="5255895" cy="19050"/>
                <wp:effectExtent l="0" t="0" r="0" b="0"/>
                <wp:wrapNone/>
                <wp:docPr id="1" name="直线 2"/>
                <wp:cNvGraphicFramePr/>
                <a:graphic xmlns:a="http://schemas.openxmlformats.org/drawingml/2006/main">
                  <a:graphicData uri="http://schemas.microsoft.com/office/word/2010/wordprocessingShape">
                    <wps:wsp>
                      <wps:cNvCnPr/>
                      <wps:spPr>
                        <a:xfrm>
                          <a:off x="0" y="0"/>
                          <a:ext cx="5255895"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8D62D51" id="直线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55pt,1.1pt" to="415.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"/>
            </w:pict>
          </mc:Fallback>
        </mc:AlternateContent>
      </w:r>
      <w:r>
        <w:rPr>
          <w:noProof/>
          <w:sz w:val="30"/>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382905</wp:posOffset>
                </wp:positionV>
                <wp:extent cx="5255895" cy="19050"/>
                <wp:effectExtent l="0" t="0" r="0" b="0"/>
                <wp:wrapNone/>
                <wp:docPr id="2" name="直线 3"/>
                <wp:cNvGraphicFramePr/>
                <a:graphic xmlns:a="http://schemas.openxmlformats.org/drawingml/2006/main">
                  <a:graphicData uri="http://schemas.microsoft.com/office/word/2010/wordprocessingShape">
                    <wps:wsp>
                      <wps:cNvCnPr/>
                      <wps:spPr>
                        <a:xfrm>
                          <a:off x="0" y="0"/>
                          <a:ext cx="5255895"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9E82B40" id="直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30.15pt" to="413.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"/>
            </w:pict>
          </mc:Fallback>
        </mc:AlternateContent>
      </w:r>
      <w:r>
        <w:rPr>
          <w:rFonts w:ascii="仿宋" w:eastAsia="仿宋" w:hAnsi="仿宋" w:cs="仿宋" w:hint="eastAsia"/>
          <w:sz w:val="30"/>
          <w:szCs w:val="30"/>
        </w:rPr>
        <w:t>汕头市濠江区文化广电旅游体育局</w:t>
      </w:r>
      <w:r>
        <w:rPr>
          <w:rFonts w:ascii="仿宋" w:eastAsia="仿宋" w:hAnsi="仿宋" w:cs="仿宋" w:hint="eastAsia"/>
          <w:sz w:val="30"/>
          <w:szCs w:val="30"/>
        </w:rPr>
        <w:t xml:space="preserve">       </w:t>
      </w:r>
      <w:r>
        <w:rPr>
          <w:rFonts w:ascii="Times New Roman" w:eastAsia="仿宋" w:hAnsi="Times New Roman"/>
          <w:sz w:val="30"/>
          <w:szCs w:val="30"/>
        </w:rPr>
        <w:t>2</w:t>
      </w:r>
      <w:r>
        <w:rPr>
          <w:rFonts w:ascii="Times New Roman" w:eastAsia="仿宋" w:hAnsi="Times New Roman"/>
          <w:sz w:val="30"/>
          <w:szCs w:val="30"/>
        </w:rPr>
        <w:t>02</w:t>
      </w:r>
      <w:r>
        <w:rPr>
          <w:rFonts w:ascii="Times New Roman" w:eastAsia="仿宋" w:hAnsi="Times New Roman" w:hint="eastAsia"/>
          <w:sz w:val="30"/>
          <w:szCs w:val="30"/>
        </w:rPr>
        <w:t>2</w:t>
      </w:r>
      <w:r>
        <w:rPr>
          <w:rFonts w:ascii="仿宋" w:eastAsia="仿宋" w:hAnsi="仿宋" w:cs="仿宋" w:hint="eastAsia"/>
          <w:sz w:val="30"/>
          <w:szCs w:val="30"/>
        </w:rPr>
        <w:t>年</w:t>
      </w:r>
      <w:r>
        <w:rPr>
          <w:rFonts w:ascii="Times New Roman" w:eastAsia="仿宋" w:hAnsi="Times New Roman" w:hint="eastAsia"/>
          <w:sz w:val="30"/>
          <w:szCs w:val="30"/>
        </w:rPr>
        <w:t>9</w:t>
      </w:r>
      <w:r>
        <w:rPr>
          <w:rFonts w:ascii="仿宋" w:eastAsia="仿宋" w:hAnsi="仿宋" w:cs="仿宋" w:hint="eastAsia"/>
          <w:sz w:val="30"/>
          <w:szCs w:val="30"/>
        </w:rPr>
        <w:t>月</w:t>
      </w:r>
      <w:r>
        <w:rPr>
          <w:rFonts w:ascii="Times New Roman" w:eastAsia="仿宋" w:hAnsi="Times New Roman" w:hint="eastAsia"/>
          <w:sz w:val="30"/>
          <w:szCs w:val="30"/>
        </w:rPr>
        <w:t>9</w:t>
      </w:r>
      <w:r>
        <w:rPr>
          <w:rFonts w:ascii="仿宋" w:eastAsia="仿宋" w:hAnsi="仿宋" w:cs="仿宋" w:hint="eastAsia"/>
          <w:sz w:val="30"/>
          <w:szCs w:val="30"/>
        </w:rPr>
        <w:t>日印发</w:t>
      </w:r>
    </w:p>
    <w:p w:rsidR="0093422E" w:rsidRDefault="0093422E">
      <w:pPr>
        <w:spacing w:line="600" w:lineRule="exact"/>
        <w:rPr>
          <w:rFonts w:ascii="仿宋" w:eastAsia="仿宋" w:hAnsi="仿宋" w:cs="仿宋"/>
          <w:sz w:val="32"/>
          <w:szCs w:val="32"/>
        </w:rPr>
      </w:pPr>
    </w:p>
    <w:sectPr w:rsidR="00934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47A54"/>
    <w:rsid w:val="0093422E"/>
    <w:rsid w:val="00CC524F"/>
    <w:rsid w:val="09875142"/>
    <w:rsid w:val="13847A54"/>
    <w:rsid w:val="1D1A5ADD"/>
    <w:rsid w:val="1ECA74C6"/>
    <w:rsid w:val="1FC44EF2"/>
    <w:rsid w:val="2BCD118F"/>
    <w:rsid w:val="3B3E4392"/>
    <w:rsid w:val="3DA67A03"/>
    <w:rsid w:val="42340057"/>
    <w:rsid w:val="5FF87458"/>
    <w:rsid w:val="73FB0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A09F241-89C5-4AA5-88D3-F47E3200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Company>china</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陈一帆</dc:creator>
  <cp:lastModifiedBy>Administrator</cp:lastModifiedBy>
  <cp:revision>3</cp:revision>
  <cp:lastPrinted>2022-09-09T04:06:00Z</cp:lastPrinted>
  <dcterms:created xsi:type="dcterms:W3CDTF">2022-09-08T02:10:00Z</dcterms:created>
  <dcterms:modified xsi:type="dcterms:W3CDTF">2022-09-09T12:10:00Z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