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8" w:lineRule="exact"/>
      </w:pPr>
    </w:p>
    <w:tbl>
      <w:tblPr>
        <w:tblStyle w:val="5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902"/>
        <w:gridCol w:w="1276"/>
        <w:gridCol w:w="1846"/>
        <w:gridCol w:w="225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43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2"/>
                <w:sz w:val="28"/>
                <w:szCs w:val="28"/>
                <w:lang w:val="en-US" w:eastAsia="zh-CN" w:bidi="ar-SA"/>
              </w:rPr>
              <w:t>汕头市濠江区慈爱善社福利会骨灰楼</w:t>
            </w: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收费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项目公示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4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服务项目</w:t>
            </w:r>
          </w:p>
        </w:tc>
        <w:tc>
          <w:tcPr>
            <w:tcW w:w="11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收费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标准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计费单位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收费管理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19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8"/>
                <w:szCs w:val="28"/>
              </w:rPr>
              <w:t>收费依据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服务内容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  <w:t>服务标准、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  <w:t>等级和规格</w:t>
            </w:r>
          </w:p>
        </w:tc>
        <w:tc>
          <w:tcPr>
            <w:tcW w:w="22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减免政策</w:t>
            </w:r>
          </w:p>
        </w:tc>
        <w:tc>
          <w:tcPr>
            <w:tcW w:w="17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  <w:t>备注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1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4"/>
                <w:szCs w:val="24"/>
                <w:lang w:eastAsia="zh-CN"/>
              </w:rPr>
              <w:t>骨灰寄存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维护管理费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维护管理费：元/格位·年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政府定价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汕市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改〔2018〕322号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4"/>
                <w:szCs w:val="24"/>
              </w:rPr>
              <w:t>骨灰寄存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属离休干部的骨灰寄存费按30元/格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5" w:orient="landscape"/>
      <w:pgMar w:top="1587" w:right="2098" w:bottom="1474" w:left="1984" w:header="850" w:footer="1191" w:gutter="0"/>
      <w:cols w:space="720" w:num="1"/>
      <w:titlePg/>
      <w:docGrid w:type="linesAndChars" w:linePitch="60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  <w:jc w:val="right"/>
      <w:rPr>
        <w:rFonts w:hint="eastAsia"/>
      </w:rPr>
    </w:pPr>
    <w:r>
      <w:rPr>
        <w:rStyle w:val="7"/>
        <w:rFonts w:hint="eastAsia" w:eastAsia="中山行书百年纪念版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69F7"/>
    <w:rsid w:val="515369F7"/>
    <w:rsid w:val="600F0390"/>
    <w:rsid w:val="6A2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Administrator</dc:creator>
  <cp:lastModifiedBy>Administrator</cp:lastModifiedBy>
  <dcterms:modified xsi:type="dcterms:W3CDTF">2026-05-21T08:44:02Z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