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3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193"/>
        <w:gridCol w:w="1395"/>
        <w:gridCol w:w="1191"/>
        <w:gridCol w:w="1902"/>
        <w:gridCol w:w="1276"/>
        <w:gridCol w:w="1846"/>
        <w:gridCol w:w="225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434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14"/>
                <w:kern w:val="2"/>
                <w:sz w:val="28"/>
                <w:szCs w:val="28"/>
                <w:lang w:val="en-US" w:eastAsia="zh-CN" w:bidi="ar-SA"/>
              </w:rPr>
              <w:t>汕头市濠江区市佛教协会骨灰楼</w:t>
            </w: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  <w:lang w:eastAsia="zh-CN"/>
              </w:rPr>
              <w:t>收费</w:t>
            </w: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eastAsia="zh-CN"/>
              </w:rPr>
              <w:t>项目公示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49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服务项目</w:t>
            </w:r>
          </w:p>
        </w:tc>
        <w:tc>
          <w:tcPr>
            <w:tcW w:w="119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28"/>
                <w:szCs w:val="28"/>
              </w:rPr>
              <w:t>收费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28"/>
                <w:szCs w:val="28"/>
              </w:rPr>
              <w:t>标准</w:t>
            </w:r>
          </w:p>
        </w:tc>
        <w:tc>
          <w:tcPr>
            <w:tcW w:w="13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8"/>
                <w:szCs w:val="28"/>
              </w:rPr>
              <w:t>计费单位</w:t>
            </w:r>
          </w:p>
        </w:tc>
        <w:tc>
          <w:tcPr>
            <w:tcW w:w="119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  <w:t>收费管理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  <w:t>形式</w:t>
            </w:r>
          </w:p>
        </w:tc>
        <w:tc>
          <w:tcPr>
            <w:tcW w:w="190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4"/>
                <w:sz w:val="28"/>
                <w:szCs w:val="28"/>
              </w:rPr>
              <w:t>收费依据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8"/>
                <w:szCs w:val="28"/>
              </w:rPr>
              <w:t>服务内容</w:t>
            </w:r>
          </w:p>
        </w:tc>
        <w:tc>
          <w:tcPr>
            <w:tcW w:w="18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2"/>
                <w:sz w:val="28"/>
                <w:szCs w:val="28"/>
                <w:lang w:eastAsia="zh-CN"/>
              </w:rPr>
              <w:t>服务标准、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2"/>
                <w:sz w:val="28"/>
                <w:szCs w:val="28"/>
                <w:lang w:eastAsia="zh-CN"/>
              </w:rPr>
              <w:t>等级和规格</w:t>
            </w:r>
          </w:p>
        </w:tc>
        <w:tc>
          <w:tcPr>
            <w:tcW w:w="225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8"/>
                <w:szCs w:val="28"/>
              </w:rPr>
              <w:t>减免政策</w:t>
            </w:r>
          </w:p>
        </w:tc>
        <w:tc>
          <w:tcPr>
            <w:tcW w:w="17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7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7"/>
                <w:sz w:val="28"/>
                <w:szCs w:val="28"/>
              </w:rPr>
              <w:t>备注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1"/>
                <w:sz w:val="28"/>
                <w:szCs w:val="28"/>
              </w:rPr>
              <w:t>(可附照片)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4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position w:val="3"/>
                <w:sz w:val="24"/>
                <w:szCs w:val="24"/>
                <w:lang w:eastAsia="zh-CN"/>
              </w:rPr>
              <w:t>骨灰寄存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维护管理费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维护管理费：元/格位·年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政府定价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汕头市发展和改革局 汕头市民政局关于进一步规范我市殡葬服务收费等有关问题的通知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》（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汕市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改〔2018〕322号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position w:val="3"/>
                <w:sz w:val="24"/>
                <w:szCs w:val="24"/>
              </w:rPr>
              <w:t>骨灰寄存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一次性缴费20年</w:t>
            </w:r>
          </w:p>
        </w:tc>
      </w:tr>
    </w:tbl>
    <w:p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5" w:orient="landscape"/>
      <w:pgMar w:top="1587" w:right="2098" w:bottom="1474" w:left="1984" w:header="850" w:footer="1191" w:gutter="0"/>
      <w:cols w:space="720" w:num="1"/>
      <w:titlePg/>
      <w:docGrid w:type="linesAndChars" w:linePitch="60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ind w:left="464"/>
      <w:rPr>
        <w:rFonts w:ascii="宋体" w:hAnsi="宋体" w:eastAsia="宋体" w:cs="宋体"/>
        <w:sz w:val="38"/>
        <w:szCs w:val="3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120"/>
      <w:jc w:val="right"/>
      <w:rPr>
        <w:rFonts w:hint="eastAsia"/>
      </w:rPr>
    </w:pPr>
    <w:r>
      <w:rPr>
        <w:rStyle w:val="7"/>
        <w:rFonts w:hint="eastAsia" w:eastAsia="中山行书百年纪念版"/>
        <w:spacing w:val="40"/>
        <w:sz w:val="28"/>
      </w:rPr>
      <w:t xml:space="preserve">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369F7"/>
    <w:rsid w:val="3D446A7F"/>
    <w:rsid w:val="4C7553B8"/>
    <w:rsid w:val="515369F7"/>
    <w:rsid w:val="600F0390"/>
    <w:rsid w:val="6A2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uiPriority w:val="0"/>
    <w:pPr>
      <w:spacing w:line="240" w:lineRule="auto"/>
      <w:ind w:left="420" w:leftChars="200"/>
      <w:jc w:val="both"/>
      <w:textAlignment w:val="baseline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Table Text"/>
    <w:basedOn w:val="1"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中铁15局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2026-05-21T08:42:00Z</dcterms:created>
  <dc:creator>Administrator</dc:creator>
  <cp:lastModifiedBy>Administrator</cp:lastModifiedBy>
  <dcterms:modified xsi:type="dcterms:W3CDTF">2026-05-21T08:45:16Z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