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63"/>
        <w:gridCol w:w="1137"/>
        <w:gridCol w:w="1269"/>
        <w:gridCol w:w="1298"/>
        <w:gridCol w:w="1274"/>
        <w:gridCol w:w="1882"/>
        <w:gridCol w:w="1677"/>
        <w:gridCol w:w="1520"/>
        <w:gridCol w:w="1186"/>
        <w:gridCol w:w="1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6" w:hRule="atLeast"/>
          <w:jc w:val="center"/>
        </w:trPr>
        <w:tc>
          <w:tcPr>
            <w:tcW w:w="14118" w:type="dxa"/>
            <w:gridSpan w:val="10"/>
            <w:tcBorders>
              <w:top w:val="nil"/>
              <w:left w:val="nil"/>
              <w:bottom w:val="single" w:color="auto" w:sz="4" w:space="0"/>
              <w:right w:val="nil"/>
            </w:tcBorders>
            <w:noWrap w:val="0"/>
            <w:vAlign w:val="center"/>
          </w:tcPr>
          <w:p>
            <w:pPr>
              <w:pStyle w:val="8"/>
              <w:spacing w:line="320" w:lineRule="exact"/>
              <w:jc w:val="center"/>
              <w:rPr>
                <w:rFonts w:ascii="Times New Roman" w:hAnsi="Times New Roman" w:eastAsia="黑体" w:cs="Times New Roman"/>
                <w:spacing w:val="14"/>
                <w:sz w:val="28"/>
                <w:szCs w:val="28"/>
                <w:lang w:eastAsia="zh-CN"/>
              </w:rPr>
            </w:pPr>
            <w:r>
              <w:rPr>
                <w:rFonts w:ascii="Times New Roman" w:hAnsi="Times New Roman" w:eastAsia="黑体" w:cs="Times New Roman"/>
                <w:spacing w:val="14"/>
                <w:sz w:val="28"/>
                <w:szCs w:val="28"/>
                <w:lang w:eastAsia="zh-CN"/>
              </w:rPr>
              <w:t>汕头宝峰山华侨永远墓园收费</w:t>
            </w:r>
            <w:r>
              <w:rPr>
                <w:rFonts w:hint="eastAsia" w:ascii="Times New Roman" w:hAnsi="Times New Roman" w:eastAsia="黑体" w:cs="Times New Roman"/>
                <w:spacing w:val="14"/>
                <w:sz w:val="28"/>
                <w:szCs w:val="28"/>
                <w:lang w:eastAsia="zh-CN"/>
              </w:rPr>
              <w:t>项目公示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3" w:hRule="atLeast"/>
          <w:jc w:val="center"/>
        </w:trPr>
        <w:tc>
          <w:tcPr>
            <w:tcW w:w="1263" w:type="dxa"/>
            <w:tcBorders>
              <w:top w:val="single" w:color="auto" w:sz="4" w:space="0"/>
            </w:tcBorders>
            <w:noWrap w:val="0"/>
            <w:vAlign w:val="center"/>
          </w:tcPr>
          <w:p>
            <w:pPr>
              <w:pStyle w:val="8"/>
              <w:spacing w:line="320" w:lineRule="exact"/>
              <w:jc w:val="center"/>
              <w:rPr>
                <w:rFonts w:ascii="Times New Roman" w:hAnsi="Times New Roman" w:eastAsia="黑体" w:cs="Times New Roman"/>
                <w:spacing w:val="14"/>
                <w:sz w:val="28"/>
                <w:szCs w:val="28"/>
              </w:rPr>
            </w:pPr>
            <w:r>
              <w:rPr>
                <w:rFonts w:ascii="Times New Roman" w:hAnsi="Times New Roman" w:eastAsia="黑体" w:cs="Times New Roman"/>
                <w:spacing w:val="14"/>
                <w:sz w:val="28"/>
                <w:szCs w:val="28"/>
              </w:rPr>
              <w:t>墓穴</w:t>
            </w:r>
          </w:p>
          <w:p>
            <w:pPr>
              <w:pStyle w:val="8"/>
              <w:spacing w:line="320" w:lineRule="exact"/>
              <w:jc w:val="center"/>
              <w:rPr>
                <w:rFonts w:ascii="Times New Roman" w:hAnsi="Times New Roman" w:eastAsia="黑体" w:cs="Times New Roman"/>
                <w:spacing w:val="14"/>
                <w:sz w:val="28"/>
                <w:szCs w:val="28"/>
              </w:rPr>
            </w:pPr>
            <w:r>
              <w:rPr>
                <w:rFonts w:ascii="Times New Roman" w:hAnsi="Times New Roman" w:eastAsia="黑体" w:cs="Times New Roman"/>
                <w:spacing w:val="14"/>
                <w:sz w:val="28"/>
                <w:szCs w:val="28"/>
              </w:rPr>
              <w:t>类型</w:t>
            </w:r>
          </w:p>
        </w:tc>
        <w:tc>
          <w:tcPr>
            <w:tcW w:w="1137" w:type="dxa"/>
            <w:tcBorders>
              <w:top w:val="single" w:color="auto" w:sz="4" w:space="0"/>
            </w:tcBorders>
            <w:noWrap w:val="0"/>
            <w:vAlign w:val="center"/>
          </w:tcPr>
          <w:p>
            <w:pPr>
              <w:pStyle w:val="8"/>
              <w:spacing w:line="320" w:lineRule="exact"/>
              <w:jc w:val="center"/>
              <w:rPr>
                <w:rFonts w:ascii="Times New Roman" w:hAnsi="Times New Roman" w:eastAsia="黑体" w:cs="Times New Roman"/>
                <w:spacing w:val="14"/>
                <w:sz w:val="28"/>
                <w:szCs w:val="28"/>
              </w:rPr>
            </w:pPr>
            <w:r>
              <w:rPr>
                <w:rFonts w:ascii="Times New Roman" w:hAnsi="Times New Roman" w:eastAsia="黑体" w:cs="Times New Roman"/>
                <w:spacing w:val="14"/>
                <w:sz w:val="28"/>
                <w:szCs w:val="28"/>
              </w:rPr>
              <w:t>墓区</w:t>
            </w:r>
          </w:p>
          <w:p>
            <w:pPr>
              <w:pStyle w:val="8"/>
              <w:spacing w:line="320" w:lineRule="exact"/>
              <w:jc w:val="center"/>
              <w:rPr>
                <w:rFonts w:ascii="Times New Roman" w:hAnsi="Times New Roman" w:eastAsia="黑体" w:cs="Times New Roman"/>
                <w:spacing w:val="14"/>
                <w:sz w:val="28"/>
                <w:szCs w:val="28"/>
              </w:rPr>
            </w:pPr>
            <w:r>
              <w:rPr>
                <w:rFonts w:ascii="Times New Roman" w:hAnsi="Times New Roman" w:eastAsia="黑体" w:cs="Times New Roman"/>
                <w:spacing w:val="14"/>
                <w:sz w:val="28"/>
                <w:szCs w:val="28"/>
              </w:rPr>
              <w:t>位置</w:t>
            </w:r>
          </w:p>
        </w:tc>
        <w:tc>
          <w:tcPr>
            <w:tcW w:w="1269" w:type="dxa"/>
            <w:tcBorders>
              <w:top w:val="single" w:color="auto" w:sz="4" w:space="0"/>
            </w:tcBorders>
            <w:noWrap w:val="0"/>
            <w:vAlign w:val="center"/>
          </w:tcPr>
          <w:p>
            <w:pPr>
              <w:pStyle w:val="8"/>
              <w:spacing w:line="320" w:lineRule="exact"/>
              <w:jc w:val="center"/>
              <w:rPr>
                <w:rFonts w:ascii="Times New Roman" w:hAnsi="Times New Roman" w:eastAsia="黑体" w:cs="Times New Roman"/>
                <w:spacing w:val="14"/>
                <w:sz w:val="28"/>
                <w:szCs w:val="28"/>
              </w:rPr>
            </w:pPr>
            <w:r>
              <w:rPr>
                <w:rFonts w:ascii="Times New Roman" w:hAnsi="Times New Roman" w:eastAsia="黑体" w:cs="Times New Roman"/>
                <w:spacing w:val="14"/>
                <w:sz w:val="28"/>
                <w:szCs w:val="28"/>
              </w:rPr>
              <w:t>收费</w:t>
            </w:r>
          </w:p>
          <w:p>
            <w:pPr>
              <w:pStyle w:val="8"/>
              <w:spacing w:line="320" w:lineRule="exact"/>
              <w:jc w:val="center"/>
              <w:rPr>
                <w:rFonts w:ascii="Times New Roman" w:hAnsi="Times New Roman" w:eastAsia="黑体" w:cs="Times New Roman"/>
                <w:spacing w:val="14"/>
                <w:sz w:val="28"/>
                <w:szCs w:val="28"/>
              </w:rPr>
            </w:pPr>
            <w:r>
              <w:rPr>
                <w:rFonts w:ascii="Times New Roman" w:hAnsi="Times New Roman" w:eastAsia="黑体" w:cs="Times New Roman"/>
                <w:spacing w:val="14"/>
                <w:sz w:val="28"/>
                <w:szCs w:val="28"/>
              </w:rPr>
              <w:t>标准</w:t>
            </w:r>
          </w:p>
        </w:tc>
        <w:tc>
          <w:tcPr>
            <w:tcW w:w="1298" w:type="dxa"/>
            <w:tcBorders>
              <w:top w:val="single" w:color="auto" w:sz="4" w:space="0"/>
            </w:tcBorders>
            <w:noWrap w:val="0"/>
            <w:vAlign w:val="center"/>
          </w:tcPr>
          <w:p>
            <w:pPr>
              <w:pStyle w:val="8"/>
              <w:spacing w:line="320" w:lineRule="exact"/>
              <w:jc w:val="center"/>
              <w:rPr>
                <w:rFonts w:ascii="Times New Roman" w:hAnsi="Times New Roman" w:eastAsia="黑体" w:cs="Times New Roman"/>
                <w:spacing w:val="14"/>
                <w:sz w:val="28"/>
                <w:szCs w:val="28"/>
              </w:rPr>
            </w:pPr>
            <w:r>
              <w:rPr>
                <w:rFonts w:ascii="Times New Roman" w:hAnsi="Times New Roman" w:eastAsia="黑体" w:cs="Times New Roman"/>
                <w:spacing w:val="14"/>
                <w:sz w:val="28"/>
                <w:szCs w:val="28"/>
              </w:rPr>
              <w:t>计费</w:t>
            </w:r>
          </w:p>
          <w:p>
            <w:pPr>
              <w:pStyle w:val="8"/>
              <w:spacing w:line="320" w:lineRule="exact"/>
              <w:jc w:val="center"/>
              <w:rPr>
                <w:rFonts w:ascii="Times New Roman" w:hAnsi="Times New Roman" w:eastAsia="黑体" w:cs="Times New Roman"/>
                <w:spacing w:val="14"/>
                <w:sz w:val="28"/>
                <w:szCs w:val="28"/>
              </w:rPr>
            </w:pPr>
            <w:r>
              <w:rPr>
                <w:rFonts w:ascii="Times New Roman" w:hAnsi="Times New Roman" w:eastAsia="黑体" w:cs="Times New Roman"/>
                <w:spacing w:val="14"/>
                <w:sz w:val="28"/>
                <w:szCs w:val="28"/>
              </w:rPr>
              <w:t>单位</w:t>
            </w:r>
          </w:p>
        </w:tc>
        <w:tc>
          <w:tcPr>
            <w:tcW w:w="1274" w:type="dxa"/>
            <w:tcBorders>
              <w:top w:val="single" w:color="auto" w:sz="4" w:space="0"/>
            </w:tcBorders>
            <w:noWrap w:val="0"/>
            <w:vAlign w:val="center"/>
          </w:tcPr>
          <w:p>
            <w:pPr>
              <w:pStyle w:val="8"/>
              <w:spacing w:line="320" w:lineRule="exact"/>
              <w:jc w:val="center"/>
              <w:rPr>
                <w:rFonts w:ascii="Times New Roman" w:hAnsi="Times New Roman" w:eastAsia="黑体" w:cs="Times New Roman"/>
                <w:spacing w:val="14"/>
                <w:sz w:val="28"/>
                <w:szCs w:val="28"/>
              </w:rPr>
            </w:pPr>
            <w:r>
              <w:rPr>
                <w:rFonts w:ascii="Times New Roman" w:hAnsi="Times New Roman" w:eastAsia="黑体" w:cs="Times New Roman"/>
                <w:spacing w:val="14"/>
                <w:sz w:val="28"/>
                <w:szCs w:val="28"/>
              </w:rPr>
              <w:t>收费管理</w:t>
            </w:r>
          </w:p>
          <w:p>
            <w:pPr>
              <w:pStyle w:val="8"/>
              <w:spacing w:line="320" w:lineRule="exact"/>
              <w:jc w:val="center"/>
              <w:rPr>
                <w:rFonts w:ascii="Times New Roman" w:hAnsi="Times New Roman" w:eastAsia="黑体" w:cs="Times New Roman"/>
                <w:spacing w:val="14"/>
                <w:sz w:val="28"/>
                <w:szCs w:val="28"/>
              </w:rPr>
            </w:pPr>
            <w:r>
              <w:rPr>
                <w:rFonts w:ascii="Times New Roman" w:hAnsi="Times New Roman" w:eastAsia="黑体" w:cs="Times New Roman"/>
                <w:spacing w:val="14"/>
                <w:sz w:val="28"/>
                <w:szCs w:val="28"/>
              </w:rPr>
              <w:t>形式</w:t>
            </w:r>
          </w:p>
        </w:tc>
        <w:tc>
          <w:tcPr>
            <w:tcW w:w="1882" w:type="dxa"/>
            <w:tcBorders>
              <w:top w:val="single" w:color="auto" w:sz="4" w:space="0"/>
            </w:tcBorders>
            <w:noWrap w:val="0"/>
            <w:vAlign w:val="center"/>
          </w:tcPr>
          <w:p>
            <w:pPr>
              <w:pStyle w:val="8"/>
              <w:spacing w:line="320" w:lineRule="exact"/>
              <w:jc w:val="center"/>
              <w:rPr>
                <w:rFonts w:ascii="Times New Roman" w:hAnsi="Times New Roman" w:eastAsia="黑体" w:cs="Times New Roman"/>
                <w:spacing w:val="14"/>
                <w:sz w:val="28"/>
                <w:szCs w:val="28"/>
              </w:rPr>
            </w:pPr>
            <w:r>
              <w:rPr>
                <w:rFonts w:ascii="Times New Roman" w:hAnsi="Times New Roman" w:eastAsia="黑体" w:cs="Times New Roman"/>
                <w:spacing w:val="14"/>
                <w:sz w:val="28"/>
                <w:szCs w:val="28"/>
              </w:rPr>
              <w:t>收费</w:t>
            </w:r>
          </w:p>
          <w:p>
            <w:pPr>
              <w:pStyle w:val="8"/>
              <w:spacing w:line="320" w:lineRule="exact"/>
              <w:jc w:val="center"/>
              <w:rPr>
                <w:rFonts w:ascii="Times New Roman" w:hAnsi="Times New Roman" w:eastAsia="黑体" w:cs="Times New Roman"/>
                <w:spacing w:val="14"/>
                <w:sz w:val="28"/>
                <w:szCs w:val="28"/>
              </w:rPr>
            </w:pPr>
            <w:r>
              <w:rPr>
                <w:rFonts w:ascii="Times New Roman" w:hAnsi="Times New Roman" w:eastAsia="黑体" w:cs="Times New Roman"/>
                <w:spacing w:val="14"/>
                <w:sz w:val="28"/>
                <w:szCs w:val="28"/>
              </w:rPr>
              <w:t>依据</w:t>
            </w:r>
          </w:p>
        </w:tc>
        <w:tc>
          <w:tcPr>
            <w:tcW w:w="1677" w:type="dxa"/>
            <w:tcBorders>
              <w:top w:val="single" w:color="auto" w:sz="4" w:space="0"/>
            </w:tcBorders>
            <w:noWrap w:val="0"/>
            <w:vAlign w:val="center"/>
          </w:tcPr>
          <w:p>
            <w:pPr>
              <w:pStyle w:val="8"/>
              <w:spacing w:line="320" w:lineRule="exact"/>
              <w:jc w:val="center"/>
              <w:rPr>
                <w:rFonts w:ascii="Times New Roman" w:hAnsi="Times New Roman" w:eastAsia="黑体" w:cs="Times New Roman"/>
                <w:spacing w:val="14"/>
                <w:sz w:val="28"/>
                <w:szCs w:val="28"/>
              </w:rPr>
            </w:pPr>
            <w:r>
              <w:rPr>
                <w:rFonts w:hint="eastAsia" w:ascii="Times New Roman" w:hAnsi="Times New Roman" w:eastAsia="黑体" w:cs="Times New Roman"/>
                <w:spacing w:val="14"/>
                <w:sz w:val="28"/>
                <w:szCs w:val="28"/>
              </w:rPr>
              <w:t>维护管理费</w:t>
            </w:r>
          </w:p>
        </w:tc>
        <w:tc>
          <w:tcPr>
            <w:tcW w:w="1520" w:type="dxa"/>
            <w:tcBorders>
              <w:top w:val="single" w:color="auto" w:sz="4" w:space="0"/>
            </w:tcBorders>
            <w:noWrap w:val="0"/>
            <w:vAlign w:val="center"/>
          </w:tcPr>
          <w:p>
            <w:pPr>
              <w:pStyle w:val="8"/>
              <w:spacing w:line="320" w:lineRule="exact"/>
              <w:jc w:val="center"/>
              <w:rPr>
                <w:rFonts w:ascii="Times New Roman" w:hAnsi="Times New Roman" w:eastAsia="黑体" w:cs="Times New Roman"/>
                <w:spacing w:val="14"/>
                <w:sz w:val="28"/>
                <w:szCs w:val="28"/>
              </w:rPr>
            </w:pPr>
            <w:r>
              <w:rPr>
                <w:rFonts w:ascii="Times New Roman" w:hAnsi="Times New Roman" w:eastAsia="黑体" w:cs="Times New Roman"/>
                <w:spacing w:val="14"/>
                <w:sz w:val="28"/>
                <w:szCs w:val="28"/>
              </w:rPr>
              <w:t>墓穴详情</w:t>
            </w:r>
          </w:p>
        </w:tc>
        <w:tc>
          <w:tcPr>
            <w:tcW w:w="1186" w:type="dxa"/>
            <w:tcBorders>
              <w:top w:val="single" w:color="auto" w:sz="4" w:space="0"/>
            </w:tcBorders>
            <w:noWrap w:val="0"/>
            <w:vAlign w:val="center"/>
          </w:tcPr>
          <w:p>
            <w:pPr>
              <w:pStyle w:val="8"/>
              <w:spacing w:line="320" w:lineRule="exact"/>
              <w:jc w:val="center"/>
              <w:rPr>
                <w:rFonts w:ascii="Times New Roman" w:hAnsi="Times New Roman" w:eastAsia="黑体" w:cs="Times New Roman"/>
                <w:spacing w:val="14"/>
                <w:sz w:val="28"/>
                <w:szCs w:val="28"/>
              </w:rPr>
            </w:pPr>
            <w:r>
              <w:rPr>
                <w:rFonts w:ascii="Times New Roman" w:hAnsi="Times New Roman" w:eastAsia="黑体" w:cs="Times New Roman"/>
                <w:spacing w:val="14"/>
                <w:sz w:val="28"/>
                <w:szCs w:val="28"/>
              </w:rPr>
              <w:t>减免</w:t>
            </w:r>
          </w:p>
          <w:p>
            <w:pPr>
              <w:pStyle w:val="8"/>
              <w:spacing w:line="320" w:lineRule="exact"/>
              <w:jc w:val="center"/>
              <w:rPr>
                <w:rFonts w:ascii="Times New Roman" w:hAnsi="Times New Roman" w:eastAsia="黑体" w:cs="Times New Roman"/>
                <w:spacing w:val="14"/>
                <w:sz w:val="28"/>
                <w:szCs w:val="28"/>
              </w:rPr>
            </w:pPr>
            <w:r>
              <w:rPr>
                <w:rFonts w:ascii="Times New Roman" w:hAnsi="Times New Roman" w:eastAsia="黑体" w:cs="Times New Roman"/>
                <w:spacing w:val="14"/>
                <w:sz w:val="28"/>
                <w:szCs w:val="28"/>
              </w:rPr>
              <w:t>政策</w:t>
            </w:r>
          </w:p>
        </w:tc>
        <w:tc>
          <w:tcPr>
            <w:tcW w:w="1612" w:type="dxa"/>
            <w:tcBorders>
              <w:top w:val="single" w:color="auto" w:sz="4" w:space="0"/>
            </w:tcBorders>
            <w:noWrap w:val="0"/>
            <w:vAlign w:val="center"/>
          </w:tcPr>
          <w:p>
            <w:pPr>
              <w:pStyle w:val="8"/>
              <w:spacing w:line="320" w:lineRule="exact"/>
              <w:jc w:val="center"/>
              <w:rPr>
                <w:rFonts w:ascii="Times New Roman" w:hAnsi="Times New Roman" w:eastAsia="黑体" w:cs="Times New Roman"/>
                <w:spacing w:val="14"/>
                <w:sz w:val="28"/>
                <w:szCs w:val="28"/>
              </w:rPr>
            </w:pPr>
            <w:r>
              <w:rPr>
                <w:rFonts w:ascii="Times New Roman" w:hAnsi="Times New Roman" w:eastAsia="黑体" w:cs="Times New Roman"/>
                <w:spacing w:val="14"/>
                <w:sz w:val="28"/>
                <w:szCs w:val="28"/>
              </w:rPr>
              <w:t>备注</w:t>
            </w:r>
          </w:p>
          <w:p>
            <w:pPr>
              <w:pStyle w:val="8"/>
              <w:spacing w:line="320" w:lineRule="exact"/>
              <w:jc w:val="center"/>
              <w:rPr>
                <w:rFonts w:ascii="Times New Roman" w:hAnsi="Times New Roman" w:eastAsia="黑体" w:cs="Times New Roman"/>
                <w:spacing w:val="14"/>
                <w:sz w:val="28"/>
                <w:szCs w:val="28"/>
              </w:rPr>
            </w:pPr>
            <w:r>
              <w:rPr>
                <w:rFonts w:ascii="Times New Roman" w:hAnsi="Times New Roman" w:eastAsia="黑体" w:cs="Times New Roman"/>
                <w:spacing w:val="14"/>
                <w:sz w:val="28"/>
                <w:szCs w:val="28"/>
              </w:rPr>
              <w:t>(可附照片)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6" w:hRule="atLeast"/>
          <w:jc w:val="center"/>
        </w:trPr>
        <w:tc>
          <w:tcPr>
            <w:tcW w:w="1263" w:type="dxa"/>
            <w:noWrap w:val="0"/>
            <w:vAlign w:val="center"/>
          </w:tcPr>
          <w:p>
            <w:pPr>
              <w:pStyle w:val="8"/>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default" w:ascii="Times New Roman" w:hAnsi="Times New Roman" w:eastAsia="仿宋" w:cs="Times New Roman"/>
                <w:spacing w:val="2"/>
                <w:sz w:val="28"/>
                <w:szCs w:val="28"/>
                <w:highlight w:val="yellow"/>
                <w:lang w:eastAsia="zh-CN"/>
              </w:rPr>
            </w:pPr>
            <w:r>
              <w:rPr>
                <w:rFonts w:hint="default" w:ascii="Times New Roman" w:hAnsi="Times New Roman" w:eastAsia="仿宋" w:cs="Times New Roman"/>
                <w:i w:val="0"/>
                <w:caps w:val="0"/>
                <w:color w:val="000000"/>
                <w:spacing w:val="0"/>
                <w:sz w:val="28"/>
                <w:szCs w:val="28"/>
                <w:shd w:val="clear" w:color="auto" w:fill="FFFFFF"/>
              </w:rPr>
              <w:t>汕头宝峰山华侨永远墓园</w:t>
            </w:r>
          </w:p>
        </w:tc>
        <w:tc>
          <w:tcPr>
            <w:tcW w:w="1137" w:type="dxa"/>
            <w:noWrap w:val="0"/>
            <w:vAlign w:val="center"/>
          </w:tcPr>
          <w:p>
            <w:pPr>
              <w:pStyle w:val="8"/>
              <w:keepNext w:val="0"/>
              <w:keepLines w:val="0"/>
              <w:pageBreakBefore w:val="0"/>
              <w:widowControl w:val="0"/>
              <w:kinsoku/>
              <w:wordWrap/>
              <w:overflowPunct/>
              <w:topLinePunct w:val="0"/>
              <w:autoSpaceDE/>
              <w:autoSpaceDN/>
              <w:bidi w:val="0"/>
              <w:adjustRightInd/>
              <w:snapToGrid w:val="0"/>
              <w:spacing w:line="540" w:lineRule="exact"/>
              <w:ind w:right="63" w:rightChars="20"/>
              <w:jc w:val="center"/>
              <w:textAlignment w:val="auto"/>
              <w:rPr>
                <w:rFonts w:hint="default" w:ascii="Times New Roman" w:hAnsi="Times New Roman" w:eastAsia="仿宋" w:cs="Times New Roman"/>
                <w:spacing w:val="2"/>
                <w:sz w:val="28"/>
                <w:szCs w:val="28"/>
                <w:highlight w:val="yellow"/>
                <w:lang w:eastAsia="zh-CN"/>
              </w:rPr>
            </w:pPr>
            <w:r>
              <w:rPr>
                <w:rFonts w:hint="default" w:ascii="Times New Roman" w:hAnsi="Times New Roman" w:eastAsia="仿宋" w:cs="Times New Roman"/>
                <w:i w:val="0"/>
                <w:caps w:val="0"/>
                <w:color w:val="000000"/>
                <w:spacing w:val="0"/>
                <w:sz w:val="28"/>
                <w:szCs w:val="28"/>
                <w:shd w:val="clear" w:color="auto" w:fill="FFFFFF"/>
              </w:rPr>
              <w:t>汕头市濠江区河浦街道宝峰岩南侧</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val="0"/>
              <w:spacing w:line="540" w:lineRule="exact"/>
              <w:ind w:left="63" w:leftChars="20" w:right="63" w:rightChars="20"/>
              <w:jc w:val="center"/>
              <w:textAlignment w:val="auto"/>
              <w:rPr>
                <w:rFonts w:hint="default" w:ascii="Times New Roman" w:hAnsi="Times New Roman" w:eastAsia="仿宋" w:cs="Times New Roman"/>
                <w:spacing w:val="2"/>
                <w:sz w:val="28"/>
                <w:szCs w:val="28"/>
                <w:lang w:val="en-US" w:eastAsia="zh-CN"/>
              </w:rPr>
            </w:pPr>
          </w:p>
        </w:tc>
        <w:tc>
          <w:tcPr>
            <w:tcW w:w="1298" w:type="dxa"/>
            <w:noWrap w:val="0"/>
            <w:vAlign w:val="center"/>
          </w:tcPr>
          <w:p>
            <w:pPr>
              <w:pStyle w:val="8"/>
              <w:keepNext w:val="0"/>
              <w:keepLines w:val="0"/>
              <w:pageBreakBefore w:val="0"/>
              <w:widowControl w:val="0"/>
              <w:kinsoku/>
              <w:wordWrap/>
              <w:overflowPunct/>
              <w:topLinePunct w:val="0"/>
              <w:autoSpaceDE/>
              <w:autoSpaceDN/>
              <w:bidi w:val="0"/>
              <w:adjustRightInd/>
              <w:snapToGrid w:val="0"/>
              <w:spacing w:line="540" w:lineRule="exact"/>
              <w:ind w:right="63" w:rightChars="20"/>
              <w:jc w:val="center"/>
              <w:textAlignment w:val="auto"/>
              <w:rPr>
                <w:rFonts w:hint="default" w:ascii="Times New Roman" w:hAnsi="Times New Roman" w:eastAsia="仿宋" w:cs="Times New Roman"/>
                <w:spacing w:val="2"/>
                <w:sz w:val="28"/>
                <w:szCs w:val="28"/>
                <w:lang w:eastAsia="zh-CN"/>
              </w:rPr>
            </w:pPr>
          </w:p>
        </w:tc>
        <w:tc>
          <w:tcPr>
            <w:tcW w:w="1274" w:type="dxa"/>
            <w:noWrap w:val="0"/>
            <w:vAlign w:val="center"/>
          </w:tcPr>
          <w:p>
            <w:pPr>
              <w:pStyle w:val="8"/>
              <w:keepNext w:val="0"/>
              <w:keepLines w:val="0"/>
              <w:pageBreakBefore w:val="0"/>
              <w:widowControl w:val="0"/>
              <w:kinsoku/>
              <w:wordWrap/>
              <w:overflowPunct/>
              <w:topLinePunct w:val="0"/>
              <w:autoSpaceDE/>
              <w:autoSpaceDN/>
              <w:bidi w:val="0"/>
              <w:adjustRightInd/>
              <w:snapToGrid w:val="0"/>
              <w:spacing w:line="540" w:lineRule="exact"/>
              <w:ind w:right="63" w:rightChars="20"/>
              <w:jc w:val="center"/>
              <w:textAlignment w:val="auto"/>
              <w:rPr>
                <w:rFonts w:hint="default" w:ascii="Times New Roman" w:hAnsi="Times New Roman" w:eastAsia="仿宋" w:cs="Times New Roman"/>
                <w:spacing w:val="2"/>
                <w:sz w:val="28"/>
                <w:szCs w:val="28"/>
              </w:rPr>
            </w:pPr>
            <w:r>
              <w:rPr>
                <w:rFonts w:hint="default" w:ascii="Times New Roman" w:hAnsi="Times New Roman" w:eastAsia="仿宋" w:cs="Times New Roman"/>
                <w:spacing w:val="2"/>
                <w:sz w:val="28"/>
                <w:szCs w:val="28"/>
              </w:rPr>
              <w:t>政府指导价</w:t>
            </w:r>
          </w:p>
        </w:tc>
        <w:tc>
          <w:tcPr>
            <w:tcW w:w="1882" w:type="dxa"/>
            <w:noWrap w:val="0"/>
            <w:vAlign w:val="center"/>
          </w:tcPr>
          <w:p>
            <w:pPr>
              <w:pStyle w:val="8"/>
              <w:keepNext w:val="0"/>
              <w:keepLines w:val="0"/>
              <w:pageBreakBefore w:val="0"/>
              <w:widowControl w:val="0"/>
              <w:kinsoku/>
              <w:wordWrap/>
              <w:overflowPunct/>
              <w:topLinePunct w:val="0"/>
              <w:autoSpaceDE/>
              <w:autoSpaceDN/>
              <w:bidi w:val="0"/>
              <w:adjustRightInd/>
              <w:snapToGrid w:val="0"/>
              <w:spacing w:line="540" w:lineRule="exact"/>
              <w:ind w:right="63" w:rightChars="20"/>
              <w:jc w:val="center"/>
              <w:textAlignment w:val="auto"/>
              <w:rPr>
                <w:rFonts w:hint="default" w:ascii="Times New Roman" w:hAnsi="Times New Roman" w:eastAsia="仿宋" w:cs="Times New Roman"/>
                <w:spacing w:val="2"/>
                <w:sz w:val="28"/>
                <w:szCs w:val="28"/>
                <w:lang w:eastAsia="zh-CN"/>
              </w:rPr>
            </w:pPr>
            <w:r>
              <w:rPr>
                <w:rFonts w:hint="default" w:ascii="Times New Roman" w:hAnsi="Times New Roman" w:eastAsia="仿宋" w:cs="Times New Roman"/>
                <w:spacing w:val="2"/>
                <w:sz w:val="28"/>
                <w:szCs w:val="28"/>
                <w:lang w:eastAsia="zh-CN"/>
              </w:rPr>
              <w:t>关于汕头宝峰山华侨永远墓园有限公司经营性公墓服务收费标准的复函（</w:t>
            </w:r>
            <w:r>
              <w:rPr>
                <w:rFonts w:hint="default" w:ascii="Times New Roman" w:hAnsi="Times New Roman" w:eastAsia="仿宋" w:cs="Times New Roman"/>
                <w:spacing w:val="2"/>
                <w:sz w:val="28"/>
                <w:szCs w:val="28"/>
                <w:lang w:val="en-US" w:eastAsia="zh-CN"/>
              </w:rPr>
              <w:t>汕濠价函[2013]17号</w:t>
            </w:r>
            <w:r>
              <w:rPr>
                <w:rFonts w:hint="default" w:ascii="Times New Roman" w:hAnsi="Times New Roman" w:eastAsia="仿宋" w:cs="Times New Roman"/>
                <w:spacing w:val="2"/>
                <w:sz w:val="28"/>
                <w:szCs w:val="28"/>
                <w:lang w:eastAsia="zh-CN"/>
              </w:rPr>
              <w:t>）</w:t>
            </w:r>
          </w:p>
        </w:tc>
        <w:tc>
          <w:tcPr>
            <w:tcW w:w="1677" w:type="dxa"/>
            <w:noWrap w:val="0"/>
            <w:vAlign w:val="center"/>
          </w:tcPr>
          <w:p>
            <w:pPr>
              <w:pStyle w:val="8"/>
              <w:keepNext w:val="0"/>
              <w:keepLines w:val="0"/>
              <w:pageBreakBefore w:val="0"/>
              <w:widowControl w:val="0"/>
              <w:kinsoku/>
              <w:wordWrap/>
              <w:overflowPunct/>
              <w:topLinePunct w:val="0"/>
              <w:autoSpaceDE/>
              <w:autoSpaceDN/>
              <w:bidi w:val="0"/>
              <w:adjustRightInd/>
              <w:snapToGrid w:val="0"/>
              <w:spacing w:line="540" w:lineRule="exact"/>
              <w:ind w:right="63" w:rightChars="20"/>
              <w:textAlignment w:val="auto"/>
              <w:rPr>
                <w:rFonts w:hint="default" w:ascii="Times New Roman" w:hAnsi="Times New Roman" w:eastAsia="仿宋" w:cs="Times New Roman"/>
                <w:spacing w:val="2"/>
                <w:sz w:val="28"/>
                <w:szCs w:val="28"/>
                <w:lang w:eastAsia="zh-CN"/>
              </w:rPr>
            </w:pPr>
            <w:r>
              <w:rPr>
                <w:rFonts w:hint="default" w:ascii="Times New Roman" w:hAnsi="Times New Roman" w:eastAsia="仿宋" w:cs="Times New Roman"/>
                <w:spacing w:val="2"/>
                <w:sz w:val="28"/>
                <w:szCs w:val="28"/>
                <w:lang w:eastAsia="zh-CN"/>
              </w:rPr>
              <w:t>2</w:t>
            </w:r>
            <w:r>
              <w:rPr>
                <w:rFonts w:hint="default" w:ascii="Times New Roman" w:hAnsi="Times New Roman" w:eastAsia="仿宋" w:cs="Times New Roman"/>
                <w:spacing w:val="2"/>
                <w:sz w:val="28"/>
                <w:szCs w:val="28"/>
                <w:lang w:val="en-US" w:eastAsia="zh-CN"/>
              </w:rPr>
              <w:t>1</w:t>
            </w:r>
            <w:r>
              <w:rPr>
                <w:rFonts w:hint="default" w:ascii="Times New Roman" w:hAnsi="Times New Roman" w:eastAsia="仿宋" w:cs="Times New Roman"/>
                <w:bCs/>
                <w:sz w:val="28"/>
                <w:szCs w:val="28"/>
              </w:rPr>
              <w:t>元/平方米·年</w:t>
            </w:r>
            <w:r>
              <w:rPr>
                <w:rFonts w:hint="default" w:ascii="Times New Roman" w:hAnsi="Times New Roman" w:eastAsia="仿宋" w:cs="Times New Roman"/>
                <w:color w:val="000000"/>
                <w:sz w:val="28"/>
                <w:szCs w:val="28"/>
                <w:lang w:val="en-US" w:eastAsia="zh-CN"/>
              </w:rPr>
              <w:t>（一次性收取最长不得超过20年)</w:t>
            </w:r>
          </w:p>
        </w:tc>
        <w:tc>
          <w:tcPr>
            <w:tcW w:w="1520" w:type="dxa"/>
            <w:noWrap w:val="0"/>
            <w:vAlign w:val="center"/>
          </w:tcPr>
          <w:p>
            <w:pPr>
              <w:pStyle w:val="8"/>
              <w:keepNext w:val="0"/>
              <w:keepLines w:val="0"/>
              <w:pageBreakBefore w:val="0"/>
              <w:widowControl w:val="0"/>
              <w:kinsoku/>
              <w:wordWrap/>
              <w:overflowPunct/>
              <w:topLinePunct w:val="0"/>
              <w:autoSpaceDE/>
              <w:autoSpaceDN/>
              <w:bidi w:val="0"/>
              <w:adjustRightInd/>
              <w:snapToGrid w:val="0"/>
              <w:spacing w:line="540" w:lineRule="exact"/>
              <w:ind w:right="63" w:rightChars="20"/>
              <w:jc w:val="center"/>
              <w:textAlignment w:val="auto"/>
              <w:rPr>
                <w:rFonts w:hint="default"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墓位已售罄</w:t>
            </w:r>
          </w:p>
        </w:tc>
        <w:tc>
          <w:tcPr>
            <w:tcW w:w="1186" w:type="dxa"/>
            <w:noWrap w:val="0"/>
            <w:vAlign w:val="center"/>
          </w:tcPr>
          <w:p>
            <w:pPr>
              <w:pStyle w:val="8"/>
              <w:keepNext w:val="0"/>
              <w:keepLines w:val="0"/>
              <w:pageBreakBefore w:val="0"/>
              <w:widowControl w:val="0"/>
              <w:kinsoku/>
              <w:wordWrap/>
              <w:overflowPunct/>
              <w:topLinePunct w:val="0"/>
              <w:autoSpaceDE/>
              <w:autoSpaceDN/>
              <w:bidi w:val="0"/>
              <w:adjustRightInd/>
              <w:snapToGrid w:val="0"/>
              <w:spacing w:line="540" w:lineRule="exact"/>
              <w:ind w:left="63" w:leftChars="20" w:right="63" w:rightChars="20" w:firstLine="119"/>
              <w:jc w:val="center"/>
              <w:textAlignment w:val="auto"/>
              <w:rPr>
                <w:rFonts w:hint="eastAsia" w:ascii="仿宋" w:hAnsi="仿宋" w:eastAsia="仿宋" w:cs="仿宋"/>
                <w:spacing w:val="2"/>
                <w:sz w:val="28"/>
                <w:szCs w:val="28"/>
                <w:lang w:val="en-US" w:eastAsia="zh-CN"/>
              </w:rPr>
            </w:pPr>
          </w:p>
        </w:tc>
        <w:tc>
          <w:tcPr>
            <w:tcW w:w="1612" w:type="dxa"/>
            <w:noWrap w:val="0"/>
            <w:vAlign w:val="center"/>
          </w:tcPr>
          <w:p>
            <w:pPr>
              <w:keepNext w:val="0"/>
              <w:keepLines w:val="0"/>
              <w:pageBreakBefore w:val="0"/>
              <w:widowControl w:val="0"/>
              <w:kinsoku/>
              <w:wordWrap/>
              <w:overflowPunct/>
              <w:topLinePunct w:val="0"/>
              <w:autoSpaceDE/>
              <w:autoSpaceDN/>
              <w:bidi w:val="0"/>
              <w:adjustRightInd/>
              <w:snapToGrid w:val="0"/>
              <w:spacing w:line="540" w:lineRule="exact"/>
              <w:ind w:left="63" w:leftChars="20" w:right="63" w:rightChars="20"/>
              <w:jc w:val="center"/>
              <w:textAlignment w:val="auto"/>
              <w:rPr>
                <w:rFonts w:hint="eastAsia" w:ascii="仿宋" w:hAnsi="仿宋" w:eastAsia="仿宋" w:cs="仿宋"/>
                <w:spacing w:val="2"/>
                <w:sz w:val="28"/>
                <w:szCs w:val="28"/>
              </w:rPr>
            </w:pPr>
          </w:p>
        </w:tc>
      </w:tr>
    </w:tbl>
    <w:p>
      <w:bookmarkStart w:id="0" w:name="_GoBack"/>
      <w:bookmarkEnd w:id="0"/>
    </w:p>
    <w:sectPr>
      <w:headerReference r:id="rId4" w:type="first"/>
      <w:footerReference r:id="rId6" w:type="first"/>
      <w:headerReference r:id="rId3" w:type="default"/>
      <w:footerReference r:id="rId5" w:type="default"/>
      <w:pgSz w:w="16838" w:h="11905" w:orient="landscape"/>
      <w:pgMar w:top="1587" w:right="2098" w:bottom="1474" w:left="1984" w:header="850" w:footer="1191" w:gutter="0"/>
      <w:cols w:space="720" w:num="1"/>
      <w:titlePg/>
      <w:docGrid w:type="linesAndChars" w:linePitch="607"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中山行书百年纪念版">
    <w:altName w:val="宋体"/>
    <w:panose1 w:val="02010609000101010101"/>
    <w:charset w:val="86"/>
    <w:family w:val="auto"/>
    <w:pitch w:val="default"/>
    <w:sig w:usb0="00000000" w:usb1="00000000" w:usb2="00000012"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34" w:lineRule="auto"/>
      <w:ind w:left="464"/>
      <w:rPr>
        <w:rFonts w:ascii="宋体" w:hAnsi="宋体" w:eastAsia="宋体" w:cs="宋体"/>
        <w:sz w:val="38"/>
        <w:szCs w:val="3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after="120"/>
      <w:jc w:val="right"/>
      <w:rPr>
        <w:rFonts w:hint="eastAsia"/>
      </w:rPr>
    </w:pPr>
    <w:r>
      <w:rPr>
        <w:rStyle w:val="7"/>
        <w:rFonts w:hint="eastAsia" w:eastAsia="中山行书百年纪念版"/>
        <w:spacing w:val="40"/>
        <w:sz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5369F7"/>
    <w:rsid w:val="3D446A7F"/>
    <w:rsid w:val="4BAA3748"/>
    <w:rsid w:val="4C7553B8"/>
    <w:rsid w:val="515369F7"/>
    <w:rsid w:val="600F0390"/>
    <w:rsid w:val="6A2F43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TOC2"/>
    <w:basedOn w:val="1"/>
    <w:next w:val="1"/>
    <w:uiPriority w:val="0"/>
    <w:pPr>
      <w:spacing w:line="240" w:lineRule="auto"/>
      <w:ind w:left="420" w:leftChars="200"/>
      <w:jc w:val="both"/>
      <w:textAlignment w:val="baseline"/>
    </w:pPr>
    <w:rPr>
      <w:rFonts w:ascii="Times New Roman" w:hAnsi="Times New Roman" w:eastAsia="宋体" w:cs="Times New Roman"/>
      <w:kern w:val="2"/>
      <w:sz w:val="30"/>
      <w:szCs w:val="24"/>
      <w:lang w:val="en-US" w:eastAsia="zh-CN" w:bidi="ar-SA"/>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paragraph" w:customStyle="1" w:styleId="8">
    <w:name w:val="Table Text"/>
    <w:basedOn w:val="1"/>
    <w:qFormat/>
    <w:uiPriority w:val="0"/>
    <w:rPr>
      <w:rFonts w:ascii="宋体" w:hAnsi="宋体" w:eastAsia="宋体" w:cs="宋体"/>
      <w:sz w:val="31"/>
      <w:szCs w:val="3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中铁15局</Company>
  <Pages>1</Pages>
  <Words>0</Words>
  <Characters>0</Characters>
  <Lines>0</Lines>
  <Paragraphs>0</Paragraphs>
  <TotalTime>0</TotalTime>
  <ScaleCrop>false</ScaleCrop>
  <LinksUpToDate>false</LinksUpToDate>
  <CharactersWithSpaces>0</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2026-05-21T08:42:00Z</dcterms:created>
  <dc:creator>Administrator</dc:creator>
  <cp:lastModifiedBy>Administrator</cp:lastModifiedBy>
  <dcterms:modified xsi:type="dcterms:W3CDTF">2026-05-21T08:46:04Z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ies>
</file>