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E376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color w:val="auto"/>
          <w:sz w:val="52"/>
          <w:szCs w:val="52"/>
        </w:rPr>
      </w:pPr>
    </w:p>
    <w:p w14:paraId="53C1BC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color w:val="auto"/>
          <w:sz w:val="52"/>
          <w:szCs w:val="52"/>
        </w:rPr>
      </w:pPr>
    </w:p>
    <w:p w14:paraId="6D4B8EB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color w:val="auto"/>
          <w:sz w:val="52"/>
          <w:szCs w:val="52"/>
        </w:rPr>
      </w:pPr>
    </w:p>
    <w:p w14:paraId="0C9F89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color w:val="auto"/>
          <w:sz w:val="52"/>
          <w:szCs w:val="52"/>
        </w:rPr>
      </w:pPr>
    </w:p>
    <w:p w14:paraId="4029AB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汕头市濠江区畜禽养殖禁养区</w:t>
      </w:r>
    </w:p>
    <w:p w14:paraId="116EC23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color w:val="auto"/>
          <w:sz w:val="52"/>
          <w:szCs w:val="52"/>
          <w:lang w:eastAsia="zh-CN"/>
        </w:rPr>
      </w:pPr>
      <w:r>
        <w:rPr>
          <w:rFonts w:ascii="方正小标宋简体" w:hAnsi="方正小标宋简体" w:eastAsia="方正小标宋简体" w:cs="方正小标宋简体"/>
          <w:color w:val="auto"/>
          <w:sz w:val="52"/>
          <w:szCs w:val="52"/>
        </w:rPr>
        <w:t>调整方案</w:t>
      </w:r>
      <w:r>
        <w:rPr>
          <w:rFonts w:hint="default" w:ascii="Times New Roman" w:hAnsi="Times New Roman" w:eastAsia="方正小标宋简体" w:cs="Times New Roman"/>
          <w:color w:val="auto"/>
          <w:sz w:val="52"/>
          <w:szCs w:val="52"/>
          <w:lang w:eastAsia="zh-CN"/>
        </w:rPr>
        <w:t>（</w:t>
      </w:r>
      <w:r>
        <w:rPr>
          <w:rFonts w:hint="default" w:ascii="Times New Roman" w:hAnsi="Times New Roman" w:eastAsia="方正小标宋简体" w:cs="Times New Roman"/>
          <w:color w:val="auto"/>
          <w:sz w:val="52"/>
          <w:szCs w:val="52"/>
          <w:lang w:val="en-US" w:eastAsia="zh-CN"/>
        </w:rPr>
        <w:t>2026年版</w:t>
      </w:r>
      <w:r>
        <w:rPr>
          <w:rFonts w:hint="default" w:ascii="Times New Roman" w:hAnsi="Times New Roman" w:eastAsia="方正小标宋简体" w:cs="Times New Roman"/>
          <w:color w:val="auto"/>
          <w:sz w:val="52"/>
          <w:szCs w:val="52"/>
          <w:lang w:eastAsia="zh-CN"/>
        </w:rPr>
        <w:t>）</w:t>
      </w:r>
    </w:p>
    <w:p w14:paraId="122E820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68E5FC1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05AD0E5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5DEF0F4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4B3257A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5D0895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3C128ED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楷体" w:hAnsi="楷体" w:eastAsia="楷体" w:cs="楷体"/>
          <w:b/>
          <w:bCs/>
          <w:color w:val="auto"/>
          <w:sz w:val="36"/>
          <w:szCs w:val="36"/>
          <w:lang w:bidi="ar"/>
        </w:rPr>
      </w:pPr>
    </w:p>
    <w:p w14:paraId="5A686B8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eastAsia="楷体" w:cs="Times New Roman"/>
          <w:b/>
          <w:bCs/>
          <w:color w:val="auto"/>
          <w:sz w:val="36"/>
          <w:szCs w:val="36"/>
          <w:lang w:bidi="ar"/>
        </w:rPr>
        <w:t>委托单位：汕头市生态环境局濠江分局</w:t>
      </w:r>
    </w:p>
    <w:p w14:paraId="4BFE06D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楷体" w:cs="Times New Roman"/>
          <w:b/>
          <w:bCs/>
          <w:color w:val="auto"/>
          <w:sz w:val="36"/>
          <w:szCs w:val="36"/>
          <w:lang w:bidi="ar"/>
        </w:rPr>
      </w:pPr>
      <w:r>
        <w:rPr>
          <w:rFonts w:hint="default" w:ascii="Times New Roman" w:hAnsi="Times New Roman" w:eastAsia="楷体" w:cs="Times New Roman"/>
          <w:b/>
          <w:bCs/>
          <w:color w:val="auto"/>
          <w:sz w:val="36"/>
          <w:szCs w:val="36"/>
          <w:lang w:bidi="ar"/>
        </w:rPr>
        <w:t>编制单位：汕头市新思维环保科技有限公司</w:t>
      </w:r>
    </w:p>
    <w:p w14:paraId="49DD2C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楷体" w:cs="Times New Roman"/>
          <w:b/>
          <w:bCs/>
          <w:color w:val="auto"/>
          <w:sz w:val="36"/>
          <w:szCs w:val="36"/>
          <w:lang w:val="en-US" w:eastAsia="zh-CN" w:bidi="ar"/>
        </w:rPr>
      </w:pPr>
      <w:r>
        <w:rPr>
          <w:rFonts w:hint="default" w:ascii="Times New Roman" w:hAnsi="Times New Roman" w:eastAsia="楷体" w:cs="Times New Roman"/>
          <w:b/>
          <w:bCs/>
          <w:color w:val="auto"/>
          <w:sz w:val="36"/>
          <w:szCs w:val="36"/>
          <w:lang w:val="en-US" w:eastAsia="zh-CN" w:bidi="ar"/>
        </w:rPr>
        <w:t>2026年4月</w:t>
      </w:r>
    </w:p>
    <w:p w14:paraId="4797A688">
      <w:pPr>
        <w:spacing w:before="160"/>
        <w:ind w:left="0" w:leftChars="0" w:firstLine="0" w:firstLineChars="0"/>
        <w:jc w:val="left"/>
        <w:rPr>
          <w:rFonts w:ascii="宋体" w:hAnsi="宋体" w:cs="宋体"/>
          <w:b/>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720" w:footer="720" w:gutter="0"/>
          <w:cols w:space="720" w:num="1"/>
        </w:sectPr>
      </w:pPr>
    </w:p>
    <w:p w14:paraId="32399D15">
      <w:pPr>
        <w:widowControl/>
        <w:ind w:firstLine="0" w:firstLineChars="0"/>
        <w:jc w:val="center"/>
        <w:rPr>
          <w:rFonts w:hint="eastAsia" w:cs="仿宋_GB2312"/>
          <w:b/>
          <w:bCs/>
          <w:color w:val="auto"/>
          <w:sz w:val="36"/>
          <w:szCs w:val="36"/>
          <w:lang w:bidi="ar"/>
        </w:rPr>
      </w:pPr>
      <w:r>
        <w:rPr>
          <w:rFonts w:hint="eastAsia" w:cs="仿宋_GB2312"/>
          <w:b/>
          <w:bCs/>
          <w:color w:val="auto"/>
          <w:sz w:val="36"/>
          <w:szCs w:val="36"/>
          <w:lang w:bidi="ar"/>
        </w:rPr>
        <w:t>目 录</w:t>
      </w:r>
    </w:p>
    <w:sdt>
      <w:sdtPr>
        <w:rPr>
          <w:color w:val="auto"/>
          <w:szCs w:val="28"/>
        </w:rPr>
        <w:id w:val="147455087"/>
        <w15:color w:val="DBDBDB"/>
        <w:docPartObj>
          <w:docPartGallery w:val="Table of Contents"/>
          <w:docPartUnique/>
        </w:docPartObj>
      </w:sdtPr>
      <w:sdtEndPr>
        <w:rPr>
          <w:rFonts w:hint="eastAsia" w:ascii="仿宋_GB2312" w:hAnsi="仿宋_GB2312" w:eastAsia="仿宋_GB2312" w:cs="仿宋_GB2312"/>
          <w:bCs/>
          <w:color w:val="auto"/>
          <w:szCs w:val="44"/>
          <w:lang w:bidi="ar"/>
        </w:rPr>
      </w:sdtEndPr>
      <w:sdtContent>
        <w:p w14:paraId="054D29C0">
          <w:pPr>
            <w:ind w:firstLine="0" w:firstLineChars="0"/>
            <w:jc w:val="center"/>
            <w:rPr>
              <w:color w:val="auto"/>
              <w:szCs w:val="28"/>
            </w:rPr>
          </w:pPr>
        </w:p>
        <w:p w14:paraId="1C720588">
          <w:pPr>
            <w:pStyle w:val="11"/>
            <w:ind w:firstLine="0" w:firstLineChars="0"/>
            <w:rPr>
              <w:rFonts w:eastAsia="仿宋"/>
              <w:color w:val="auto"/>
            </w:rPr>
          </w:pPr>
          <w:r>
            <w:rPr>
              <w:rFonts w:eastAsia="仿宋"/>
              <w:b/>
              <w:bCs/>
              <w:color w:val="auto"/>
              <w:lang w:bidi="ar"/>
            </w:rPr>
            <w:fldChar w:fldCharType="begin"/>
          </w:r>
          <w:r>
            <w:rPr>
              <w:rFonts w:eastAsia="仿宋"/>
              <w:b/>
              <w:bCs/>
              <w:color w:val="auto"/>
              <w:lang w:bidi="ar"/>
            </w:rPr>
            <w:instrText xml:space="preserve">TOC \o "1-3" \h \u </w:instrText>
          </w:r>
          <w:r>
            <w:rPr>
              <w:rFonts w:eastAsia="仿宋"/>
              <w:b/>
              <w:bCs/>
              <w:color w:val="auto"/>
              <w:lang w:bidi="ar"/>
            </w:rPr>
            <w:fldChar w:fldCharType="separate"/>
          </w:r>
          <w:r>
            <w:rPr>
              <w:color w:val="auto"/>
            </w:rPr>
            <w:fldChar w:fldCharType="begin"/>
          </w:r>
          <w:r>
            <w:rPr>
              <w:color w:val="auto"/>
            </w:rPr>
            <w:instrText xml:space="preserve"> HYPERLINK \l "_Toc983" </w:instrText>
          </w:r>
          <w:r>
            <w:rPr>
              <w:color w:val="auto"/>
            </w:rPr>
            <w:fldChar w:fldCharType="separate"/>
          </w:r>
          <w:r>
            <w:rPr>
              <w:rFonts w:hint="eastAsia" w:eastAsia="仿宋"/>
              <w:color w:val="auto"/>
            </w:rPr>
            <w:t>1.方案背景与依据</w:t>
          </w:r>
          <w:r>
            <w:rPr>
              <w:rFonts w:eastAsia="仿宋"/>
              <w:color w:val="auto"/>
            </w:rPr>
            <w:tab/>
          </w:r>
          <w:r>
            <w:rPr>
              <w:rFonts w:eastAsia="仿宋"/>
              <w:color w:val="auto"/>
            </w:rPr>
            <w:fldChar w:fldCharType="begin"/>
          </w:r>
          <w:r>
            <w:rPr>
              <w:rFonts w:eastAsia="仿宋"/>
              <w:color w:val="auto"/>
            </w:rPr>
            <w:instrText xml:space="preserve"> PAGEREF _Toc983 \h </w:instrText>
          </w:r>
          <w:r>
            <w:rPr>
              <w:rFonts w:eastAsia="仿宋"/>
              <w:color w:val="auto"/>
            </w:rPr>
            <w:fldChar w:fldCharType="separate"/>
          </w:r>
          <w:r>
            <w:rPr>
              <w:rFonts w:eastAsia="仿宋"/>
              <w:color w:val="auto"/>
            </w:rPr>
            <w:t>1</w:t>
          </w:r>
          <w:r>
            <w:rPr>
              <w:rFonts w:eastAsia="仿宋"/>
              <w:color w:val="auto"/>
            </w:rPr>
            <w:fldChar w:fldCharType="end"/>
          </w:r>
          <w:r>
            <w:rPr>
              <w:rFonts w:eastAsia="仿宋"/>
              <w:color w:val="auto"/>
            </w:rPr>
            <w:fldChar w:fldCharType="end"/>
          </w:r>
        </w:p>
        <w:p w14:paraId="66FDA8B8">
          <w:pPr>
            <w:pStyle w:val="11"/>
            <w:ind w:firstLine="0" w:firstLineChars="0"/>
            <w:rPr>
              <w:rFonts w:eastAsia="仿宋"/>
              <w:color w:val="auto"/>
            </w:rPr>
          </w:pPr>
          <w:r>
            <w:rPr>
              <w:color w:val="auto"/>
            </w:rPr>
            <w:fldChar w:fldCharType="begin"/>
          </w:r>
          <w:r>
            <w:rPr>
              <w:color w:val="auto"/>
            </w:rPr>
            <w:instrText xml:space="preserve"> HYPERLINK \l "_Toc9523" </w:instrText>
          </w:r>
          <w:r>
            <w:rPr>
              <w:color w:val="auto"/>
            </w:rPr>
            <w:fldChar w:fldCharType="separate"/>
          </w:r>
          <w:r>
            <w:rPr>
              <w:rFonts w:hint="eastAsia" w:eastAsia="仿宋"/>
              <w:color w:val="auto"/>
            </w:rPr>
            <w:t>2.指导思想及依据、原则与目标</w:t>
          </w:r>
          <w:r>
            <w:rPr>
              <w:rFonts w:eastAsia="仿宋"/>
              <w:color w:val="auto"/>
            </w:rPr>
            <w:tab/>
          </w:r>
          <w:r>
            <w:rPr>
              <w:rFonts w:eastAsia="仿宋"/>
              <w:color w:val="auto"/>
            </w:rPr>
            <w:fldChar w:fldCharType="begin"/>
          </w:r>
          <w:r>
            <w:rPr>
              <w:rFonts w:eastAsia="仿宋"/>
              <w:color w:val="auto"/>
            </w:rPr>
            <w:instrText xml:space="preserve"> PAGEREF _Toc9523 \h </w:instrText>
          </w:r>
          <w:r>
            <w:rPr>
              <w:rFonts w:eastAsia="仿宋"/>
              <w:color w:val="auto"/>
            </w:rPr>
            <w:fldChar w:fldCharType="separate"/>
          </w:r>
          <w:r>
            <w:rPr>
              <w:rFonts w:eastAsia="仿宋"/>
              <w:color w:val="auto"/>
            </w:rPr>
            <w:t>2</w:t>
          </w:r>
          <w:r>
            <w:rPr>
              <w:rFonts w:eastAsia="仿宋"/>
              <w:color w:val="auto"/>
            </w:rPr>
            <w:fldChar w:fldCharType="end"/>
          </w:r>
          <w:r>
            <w:rPr>
              <w:rFonts w:eastAsia="仿宋"/>
              <w:color w:val="auto"/>
            </w:rPr>
            <w:fldChar w:fldCharType="end"/>
          </w:r>
        </w:p>
        <w:p w14:paraId="0B067331">
          <w:pPr>
            <w:pStyle w:val="12"/>
            <w:ind w:left="560" w:firstLine="0" w:firstLineChars="0"/>
            <w:rPr>
              <w:rFonts w:eastAsia="仿宋"/>
              <w:color w:val="auto"/>
            </w:rPr>
          </w:pPr>
          <w:r>
            <w:rPr>
              <w:color w:val="auto"/>
            </w:rPr>
            <w:fldChar w:fldCharType="begin"/>
          </w:r>
          <w:r>
            <w:rPr>
              <w:color w:val="auto"/>
            </w:rPr>
            <w:instrText xml:space="preserve"> HYPERLINK \l "_Toc19255" </w:instrText>
          </w:r>
          <w:r>
            <w:rPr>
              <w:color w:val="auto"/>
            </w:rPr>
            <w:fldChar w:fldCharType="separate"/>
          </w:r>
          <w:r>
            <w:rPr>
              <w:rFonts w:eastAsia="仿宋"/>
              <w:color w:val="auto"/>
            </w:rPr>
            <w:t>2.1</w:t>
          </w:r>
          <w:r>
            <w:rPr>
              <w:rFonts w:hint="eastAsia" w:eastAsia="仿宋"/>
              <w:color w:val="auto"/>
            </w:rPr>
            <w:t xml:space="preserve"> </w:t>
          </w:r>
          <w:r>
            <w:rPr>
              <w:rFonts w:eastAsia="仿宋"/>
              <w:color w:val="auto"/>
            </w:rPr>
            <w:t>指导思想</w:t>
          </w:r>
          <w:r>
            <w:rPr>
              <w:rFonts w:eastAsia="仿宋"/>
              <w:color w:val="auto"/>
            </w:rPr>
            <w:tab/>
          </w:r>
          <w:r>
            <w:rPr>
              <w:rFonts w:eastAsia="仿宋"/>
              <w:color w:val="auto"/>
            </w:rPr>
            <w:fldChar w:fldCharType="begin"/>
          </w:r>
          <w:r>
            <w:rPr>
              <w:rFonts w:eastAsia="仿宋"/>
              <w:color w:val="auto"/>
            </w:rPr>
            <w:instrText xml:space="preserve"> PAGEREF _Toc19255 \h </w:instrText>
          </w:r>
          <w:r>
            <w:rPr>
              <w:rFonts w:eastAsia="仿宋"/>
              <w:color w:val="auto"/>
            </w:rPr>
            <w:fldChar w:fldCharType="separate"/>
          </w:r>
          <w:r>
            <w:rPr>
              <w:rFonts w:eastAsia="仿宋"/>
              <w:color w:val="auto"/>
            </w:rPr>
            <w:t>2</w:t>
          </w:r>
          <w:r>
            <w:rPr>
              <w:rFonts w:eastAsia="仿宋"/>
              <w:color w:val="auto"/>
            </w:rPr>
            <w:fldChar w:fldCharType="end"/>
          </w:r>
          <w:r>
            <w:rPr>
              <w:rFonts w:eastAsia="仿宋"/>
              <w:color w:val="auto"/>
            </w:rPr>
            <w:fldChar w:fldCharType="end"/>
          </w:r>
        </w:p>
        <w:p w14:paraId="35CE6787">
          <w:pPr>
            <w:pStyle w:val="12"/>
            <w:ind w:left="560" w:firstLine="0" w:firstLineChars="0"/>
            <w:rPr>
              <w:rFonts w:eastAsia="仿宋"/>
              <w:color w:val="auto"/>
            </w:rPr>
          </w:pPr>
          <w:r>
            <w:rPr>
              <w:color w:val="auto"/>
            </w:rPr>
            <w:fldChar w:fldCharType="begin"/>
          </w:r>
          <w:r>
            <w:rPr>
              <w:color w:val="auto"/>
            </w:rPr>
            <w:instrText xml:space="preserve"> HYPERLINK \l "_Toc11598" </w:instrText>
          </w:r>
          <w:r>
            <w:rPr>
              <w:color w:val="auto"/>
            </w:rPr>
            <w:fldChar w:fldCharType="separate"/>
          </w:r>
          <w:r>
            <w:rPr>
              <w:rFonts w:hint="eastAsia" w:eastAsia="仿宋"/>
              <w:color w:val="auto"/>
            </w:rPr>
            <w:t>2.2 划定依据</w:t>
          </w:r>
          <w:r>
            <w:rPr>
              <w:rFonts w:eastAsia="仿宋"/>
              <w:color w:val="auto"/>
            </w:rPr>
            <w:tab/>
          </w:r>
          <w:r>
            <w:rPr>
              <w:rFonts w:eastAsia="仿宋"/>
              <w:color w:val="auto"/>
            </w:rPr>
            <w:fldChar w:fldCharType="begin"/>
          </w:r>
          <w:r>
            <w:rPr>
              <w:rFonts w:eastAsia="仿宋"/>
              <w:color w:val="auto"/>
            </w:rPr>
            <w:instrText xml:space="preserve"> PAGEREF _Toc11598 \h </w:instrText>
          </w:r>
          <w:r>
            <w:rPr>
              <w:rFonts w:eastAsia="仿宋"/>
              <w:color w:val="auto"/>
            </w:rPr>
            <w:fldChar w:fldCharType="separate"/>
          </w:r>
          <w:r>
            <w:rPr>
              <w:rFonts w:eastAsia="仿宋"/>
              <w:color w:val="auto"/>
            </w:rPr>
            <w:t>2</w:t>
          </w:r>
          <w:r>
            <w:rPr>
              <w:rFonts w:eastAsia="仿宋"/>
              <w:color w:val="auto"/>
            </w:rPr>
            <w:fldChar w:fldCharType="end"/>
          </w:r>
          <w:r>
            <w:rPr>
              <w:rFonts w:eastAsia="仿宋"/>
              <w:color w:val="auto"/>
            </w:rPr>
            <w:fldChar w:fldCharType="end"/>
          </w:r>
        </w:p>
        <w:p w14:paraId="1F51E207">
          <w:pPr>
            <w:pStyle w:val="12"/>
            <w:ind w:left="560" w:firstLine="0" w:firstLineChars="0"/>
            <w:rPr>
              <w:rFonts w:eastAsia="仿宋"/>
              <w:color w:val="auto"/>
            </w:rPr>
          </w:pPr>
          <w:r>
            <w:rPr>
              <w:color w:val="auto"/>
            </w:rPr>
            <w:fldChar w:fldCharType="begin"/>
          </w:r>
          <w:r>
            <w:rPr>
              <w:color w:val="auto"/>
            </w:rPr>
            <w:instrText xml:space="preserve"> HYPERLINK \l "_Toc6989" </w:instrText>
          </w:r>
          <w:r>
            <w:rPr>
              <w:color w:val="auto"/>
            </w:rPr>
            <w:fldChar w:fldCharType="separate"/>
          </w:r>
          <w:r>
            <w:rPr>
              <w:rFonts w:hint="eastAsia" w:eastAsia="仿宋"/>
              <w:color w:val="auto"/>
            </w:rPr>
            <w:t>2.3 划定</w:t>
          </w:r>
          <w:r>
            <w:rPr>
              <w:rFonts w:eastAsia="仿宋"/>
              <w:color w:val="auto"/>
            </w:rPr>
            <w:t>原则</w:t>
          </w:r>
          <w:r>
            <w:rPr>
              <w:rFonts w:eastAsia="仿宋"/>
              <w:color w:val="auto"/>
            </w:rPr>
            <w:tab/>
          </w:r>
          <w:r>
            <w:rPr>
              <w:rFonts w:eastAsia="仿宋"/>
              <w:color w:val="auto"/>
            </w:rPr>
            <w:fldChar w:fldCharType="begin"/>
          </w:r>
          <w:r>
            <w:rPr>
              <w:rFonts w:eastAsia="仿宋"/>
              <w:color w:val="auto"/>
            </w:rPr>
            <w:instrText xml:space="preserve"> PAGEREF _Toc6989 \h </w:instrText>
          </w:r>
          <w:r>
            <w:rPr>
              <w:rFonts w:eastAsia="仿宋"/>
              <w:color w:val="auto"/>
            </w:rPr>
            <w:fldChar w:fldCharType="separate"/>
          </w:r>
          <w:r>
            <w:rPr>
              <w:rFonts w:eastAsia="仿宋"/>
              <w:color w:val="auto"/>
            </w:rPr>
            <w:t>5</w:t>
          </w:r>
          <w:r>
            <w:rPr>
              <w:rFonts w:eastAsia="仿宋"/>
              <w:color w:val="auto"/>
            </w:rPr>
            <w:fldChar w:fldCharType="end"/>
          </w:r>
          <w:r>
            <w:rPr>
              <w:rFonts w:eastAsia="仿宋"/>
              <w:color w:val="auto"/>
            </w:rPr>
            <w:fldChar w:fldCharType="end"/>
          </w:r>
        </w:p>
        <w:p w14:paraId="58AC6CCC">
          <w:pPr>
            <w:pStyle w:val="12"/>
            <w:ind w:left="560" w:firstLine="0" w:firstLineChars="0"/>
            <w:rPr>
              <w:rFonts w:eastAsia="仿宋"/>
              <w:color w:val="auto"/>
            </w:rPr>
          </w:pPr>
          <w:r>
            <w:rPr>
              <w:color w:val="auto"/>
            </w:rPr>
            <w:fldChar w:fldCharType="begin"/>
          </w:r>
          <w:r>
            <w:rPr>
              <w:color w:val="auto"/>
            </w:rPr>
            <w:instrText xml:space="preserve"> HYPERLINK \l "_Toc3010" </w:instrText>
          </w:r>
          <w:r>
            <w:rPr>
              <w:color w:val="auto"/>
            </w:rPr>
            <w:fldChar w:fldCharType="separate"/>
          </w:r>
          <w:r>
            <w:rPr>
              <w:rFonts w:hint="eastAsia" w:eastAsia="仿宋"/>
              <w:color w:val="auto"/>
            </w:rPr>
            <w:t>2.4 区划目标</w:t>
          </w:r>
          <w:r>
            <w:rPr>
              <w:rFonts w:eastAsia="仿宋"/>
              <w:color w:val="auto"/>
            </w:rPr>
            <w:tab/>
          </w:r>
          <w:r>
            <w:rPr>
              <w:rFonts w:eastAsia="仿宋"/>
              <w:color w:val="auto"/>
            </w:rPr>
            <w:fldChar w:fldCharType="begin"/>
          </w:r>
          <w:r>
            <w:rPr>
              <w:rFonts w:eastAsia="仿宋"/>
              <w:color w:val="auto"/>
            </w:rPr>
            <w:instrText xml:space="preserve"> PAGEREF _Toc3010 \h </w:instrText>
          </w:r>
          <w:r>
            <w:rPr>
              <w:rFonts w:eastAsia="仿宋"/>
              <w:color w:val="auto"/>
            </w:rPr>
            <w:fldChar w:fldCharType="separate"/>
          </w:r>
          <w:r>
            <w:rPr>
              <w:rFonts w:eastAsia="仿宋"/>
              <w:color w:val="auto"/>
            </w:rPr>
            <w:t>5</w:t>
          </w:r>
          <w:r>
            <w:rPr>
              <w:rFonts w:eastAsia="仿宋"/>
              <w:color w:val="auto"/>
            </w:rPr>
            <w:fldChar w:fldCharType="end"/>
          </w:r>
          <w:r>
            <w:rPr>
              <w:rFonts w:eastAsia="仿宋"/>
              <w:color w:val="auto"/>
            </w:rPr>
            <w:fldChar w:fldCharType="end"/>
          </w:r>
        </w:p>
        <w:p w14:paraId="5EDCB89B">
          <w:pPr>
            <w:pStyle w:val="11"/>
            <w:ind w:firstLine="0" w:firstLineChars="0"/>
            <w:rPr>
              <w:rFonts w:eastAsia="仿宋"/>
              <w:color w:val="auto"/>
            </w:rPr>
          </w:pPr>
          <w:r>
            <w:rPr>
              <w:color w:val="auto"/>
            </w:rPr>
            <w:fldChar w:fldCharType="begin"/>
          </w:r>
          <w:r>
            <w:rPr>
              <w:color w:val="auto"/>
            </w:rPr>
            <w:instrText xml:space="preserve"> HYPERLINK \l "_Toc22025" </w:instrText>
          </w:r>
          <w:r>
            <w:rPr>
              <w:color w:val="auto"/>
            </w:rPr>
            <w:fldChar w:fldCharType="separate"/>
          </w:r>
          <w:r>
            <w:rPr>
              <w:rFonts w:hint="eastAsia" w:eastAsia="仿宋"/>
              <w:color w:val="auto"/>
            </w:rPr>
            <w:t>3.相关术语</w:t>
          </w:r>
          <w:r>
            <w:rPr>
              <w:rFonts w:eastAsia="仿宋"/>
              <w:color w:val="auto"/>
            </w:rPr>
            <w:tab/>
          </w:r>
          <w:r>
            <w:rPr>
              <w:rFonts w:eastAsia="仿宋"/>
              <w:color w:val="auto"/>
            </w:rPr>
            <w:fldChar w:fldCharType="begin"/>
          </w:r>
          <w:r>
            <w:rPr>
              <w:rFonts w:eastAsia="仿宋"/>
              <w:color w:val="auto"/>
            </w:rPr>
            <w:instrText xml:space="preserve"> PAGEREF _Toc22025 \h </w:instrText>
          </w:r>
          <w:r>
            <w:rPr>
              <w:rFonts w:eastAsia="仿宋"/>
              <w:color w:val="auto"/>
            </w:rPr>
            <w:fldChar w:fldCharType="separate"/>
          </w:r>
          <w:r>
            <w:rPr>
              <w:rFonts w:eastAsia="仿宋"/>
              <w:color w:val="auto"/>
            </w:rPr>
            <w:t>5</w:t>
          </w:r>
          <w:r>
            <w:rPr>
              <w:rFonts w:eastAsia="仿宋"/>
              <w:color w:val="auto"/>
            </w:rPr>
            <w:fldChar w:fldCharType="end"/>
          </w:r>
          <w:r>
            <w:rPr>
              <w:rFonts w:eastAsia="仿宋"/>
              <w:color w:val="auto"/>
            </w:rPr>
            <w:fldChar w:fldCharType="end"/>
          </w:r>
        </w:p>
        <w:p w14:paraId="10022910">
          <w:pPr>
            <w:pStyle w:val="12"/>
            <w:ind w:left="560" w:firstLine="0" w:firstLineChars="0"/>
            <w:rPr>
              <w:rFonts w:eastAsia="仿宋"/>
              <w:color w:val="auto"/>
            </w:rPr>
          </w:pPr>
          <w:r>
            <w:rPr>
              <w:color w:val="auto"/>
            </w:rPr>
            <w:fldChar w:fldCharType="begin"/>
          </w:r>
          <w:r>
            <w:rPr>
              <w:color w:val="auto"/>
            </w:rPr>
            <w:instrText xml:space="preserve"> HYPERLINK \l "_Toc16754" </w:instrText>
          </w:r>
          <w:r>
            <w:rPr>
              <w:color w:val="auto"/>
            </w:rPr>
            <w:fldChar w:fldCharType="separate"/>
          </w:r>
          <w:r>
            <w:rPr>
              <w:rFonts w:hint="eastAsia" w:eastAsia="仿宋"/>
              <w:color w:val="auto"/>
            </w:rPr>
            <w:t>3.1 畜禽</w:t>
          </w:r>
          <w:r>
            <w:rPr>
              <w:rFonts w:eastAsia="仿宋"/>
              <w:color w:val="auto"/>
            </w:rPr>
            <w:tab/>
          </w:r>
          <w:r>
            <w:rPr>
              <w:rFonts w:eastAsia="仿宋"/>
              <w:color w:val="auto"/>
            </w:rPr>
            <w:fldChar w:fldCharType="begin"/>
          </w:r>
          <w:r>
            <w:rPr>
              <w:rFonts w:eastAsia="仿宋"/>
              <w:color w:val="auto"/>
            </w:rPr>
            <w:instrText xml:space="preserve"> PAGEREF _Toc16754 \h </w:instrText>
          </w:r>
          <w:r>
            <w:rPr>
              <w:rFonts w:eastAsia="仿宋"/>
              <w:color w:val="auto"/>
            </w:rPr>
            <w:fldChar w:fldCharType="separate"/>
          </w:r>
          <w:r>
            <w:rPr>
              <w:rFonts w:eastAsia="仿宋"/>
              <w:color w:val="auto"/>
            </w:rPr>
            <w:t>6</w:t>
          </w:r>
          <w:r>
            <w:rPr>
              <w:rFonts w:eastAsia="仿宋"/>
              <w:color w:val="auto"/>
            </w:rPr>
            <w:fldChar w:fldCharType="end"/>
          </w:r>
          <w:r>
            <w:rPr>
              <w:rFonts w:eastAsia="仿宋"/>
              <w:color w:val="auto"/>
            </w:rPr>
            <w:fldChar w:fldCharType="end"/>
          </w:r>
        </w:p>
        <w:p w14:paraId="68B90594">
          <w:pPr>
            <w:pStyle w:val="12"/>
            <w:ind w:left="560" w:firstLine="0" w:firstLineChars="0"/>
            <w:rPr>
              <w:rFonts w:eastAsia="仿宋"/>
              <w:color w:val="auto"/>
            </w:rPr>
          </w:pPr>
          <w:r>
            <w:rPr>
              <w:color w:val="auto"/>
            </w:rPr>
            <w:fldChar w:fldCharType="begin"/>
          </w:r>
          <w:r>
            <w:rPr>
              <w:color w:val="auto"/>
            </w:rPr>
            <w:instrText xml:space="preserve"> HYPERLINK \l "_Toc2281" </w:instrText>
          </w:r>
          <w:r>
            <w:rPr>
              <w:color w:val="auto"/>
            </w:rPr>
            <w:fldChar w:fldCharType="separate"/>
          </w:r>
          <w:r>
            <w:rPr>
              <w:rFonts w:hint="eastAsia" w:eastAsia="仿宋"/>
              <w:color w:val="auto"/>
            </w:rPr>
            <w:t>3.2畜禽养殖场</w:t>
          </w:r>
          <w:r>
            <w:rPr>
              <w:rFonts w:eastAsia="仿宋"/>
              <w:color w:val="auto"/>
            </w:rPr>
            <w:tab/>
          </w:r>
          <w:r>
            <w:rPr>
              <w:rFonts w:eastAsia="仿宋"/>
              <w:color w:val="auto"/>
            </w:rPr>
            <w:fldChar w:fldCharType="begin"/>
          </w:r>
          <w:r>
            <w:rPr>
              <w:rFonts w:eastAsia="仿宋"/>
              <w:color w:val="auto"/>
            </w:rPr>
            <w:instrText xml:space="preserve"> PAGEREF _Toc2281 \h </w:instrText>
          </w:r>
          <w:r>
            <w:rPr>
              <w:rFonts w:eastAsia="仿宋"/>
              <w:color w:val="auto"/>
            </w:rPr>
            <w:fldChar w:fldCharType="separate"/>
          </w:r>
          <w:r>
            <w:rPr>
              <w:rFonts w:eastAsia="仿宋"/>
              <w:color w:val="auto"/>
            </w:rPr>
            <w:t>6</w:t>
          </w:r>
          <w:r>
            <w:rPr>
              <w:rFonts w:eastAsia="仿宋"/>
              <w:color w:val="auto"/>
            </w:rPr>
            <w:fldChar w:fldCharType="end"/>
          </w:r>
          <w:r>
            <w:rPr>
              <w:rFonts w:eastAsia="仿宋"/>
              <w:color w:val="auto"/>
            </w:rPr>
            <w:fldChar w:fldCharType="end"/>
          </w:r>
        </w:p>
        <w:p w14:paraId="39CA4CEC">
          <w:pPr>
            <w:pStyle w:val="12"/>
            <w:ind w:left="560" w:firstLine="0" w:firstLineChars="0"/>
            <w:rPr>
              <w:rFonts w:eastAsia="仿宋"/>
              <w:color w:val="auto"/>
            </w:rPr>
          </w:pPr>
          <w:r>
            <w:rPr>
              <w:color w:val="auto"/>
            </w:rPr>
            <w:fldChar w:fldCharType="begin"/>
          </w:r>
          <w:r>
            <w:rPr>
              <w:color w:val="auto"/>
            </w:rPr>
            <w:instrText xml:space="preserve"> HYPERLINK \l "_Toc7199" </w:instrText>
          </w:r>
          <w:r>
            <w:rPr>
              <w:color w:val="auto"/>
            </w:rPr>
            <w:fldChar w:fldCharType="separate"/>
          </w:r>
          <w:r>
            <w:rPr>
              <w:rFonts w:hint="eastAsia" w:eastAsia="仿宋"/>
              <w:color w:val="auto"/>
            </w:rPr>
            <w:t>3.3 畜禽养殖专业户</w:t>
          </w:r>
          <w:r>
            <w:rPr>
              <w:rFonts w:eastAsia="仿宋"/>
              <w:color w:val="auto"/>
            </w:rPr>
            <w:tab/>
          </w:r>
          <w:r>
            <w:rPr>
              <w:rFonts w:eastAsia="仿宋"/>
              <w:color w:val="auto"/>
            </w:rPr>
            <w:fldChar w:fldCharType="begin"/>
          </w:r>
          <w:r>
            <w:rPr>
              <w:rFonts w:eastAsia="仿宋"/>
              <w:color w:val="auto"/>
            </w:rPr>
            <w:instrText xml:space="preserve"> PAGEREF _Toc7199 \h </w:instrText>
          </w:r>
          <w:r>
            <w:rPr>
              <w:rFonts w:eastAsia="仿宋"/>
              <w:color w:val="auto"/>
            </w:rPr>
            <w:fldChar w:fldCharType="separate"/>
          </w:r>
          <w:r>
            <w:rPr>
              <w:rFonts w:eastAsia="仿宋"/>
              <w:color w:val="auto"/>
            </w:rPr>
            <w:t>7</w:t>
          </w:r>
          <w:r>
            <w:rPr>
              <w:rFonts w:eastAsia="仿宋"/>
              <w:color w:val="auto"/>
            </w:rPr>
            <w:fldChar w:fldCharType="end"/>
          </w:r>
          <w:r>
            <w:rPr>
              <w:rFonts w:eastAsia="仿宋"/>
              <w:color w:val="auto"/>
            </w:rPr>
            <w:fldChar w:fldCharType="end"/>
          </w:r>
        </w:p>
        <w:p w14:paraId="19D1A037">
          <w:pPr>
            <w:pStyle w:val="12"/>
            <w:ind w:left="560" w:firstLine="0" w:firstLineChars="0"/>
            <w:rPr>
              <w:rFonts w:eastAsia="仿宋"/>
              <w:color w:val="auto"/>
            </w:rPr>
          </w:pPr>
          <w:r>
            <w:rPr>
              <w:color w:val="auto"/>
            </w:rPr>
            <w:fldChar w:fldCharType="begin"/>
          </w:r>
          <w:r>
            <w:rPr>
              <w:color w:val="auto"/>
            </w:rPr>
            <w:instrText xml:space="preserve"> HYPERLINK \l "_Toc20894" </w:instrText>
          </w:r>
          <w:r>
            <w:rPr>
              <w:color w:val="auto"/>
            </w:rPr>
            <w:fldChar w:fldCharType="separate"/>
          </w:r>
          <w:r>
            <w:rPr>
              <w:rFonts w:hint="eastAsia" w:eastAsia="仿宋"/>
              <w:color w:val="auto"/>
            </w:rPr>
            <w:t>3.4 禁养区</w:t>
          </w:r>
          <w:r>
            <w:rPr>
              <w:rFonts w:eastAsia="仿宋"/>
              <w:color w:val="auto"/>
            </w:rPr>
            <w:tab/>
          </w:r>
          <w:r>
            <w:rPr>
              <w:rFonts w:eastAsia="仿宋"/>
              <w:color w:val="auto"/>
            </w:rPr>
            <w:fldChar w:fldCharType="begin"/>
          </w:r>
          <w:r>
            <w:rPr>
              <w:rFonts w:eastAsia="仿宋"/>
              <w:color w:val="auto"/>
            </w:rPr>
            <w:instrText xml:space="preserve"> PAGEREF _Toc20894 \h </w:instrText>
          </w:r>
          <w:r>
            <w:rPr>
              <w:rFonts w:eastAsia="仿宋"/>
              <w:color w:val="auto"/>
            </w:rPr>
            <w:fldChar w:fldCharType="separate"/>
          </w:r>
          <w:r>
            <w:rPr>
              <w:rFonts w:eastAsia="仿宋"/>
              <w:color w:val="auto"/>
            </w:rPr>
            <w:t>7</w:t>
          </w:r>
          <w:r>
            <w:rPr>
              <w:rFonts w:eastAsia="仿宋"/>
              <w:color w:val="auto"/>
            </w:rPr>
            <w:fldChar w:fldCharType="end"/>
          </w:r>
          <w:r>
            <w:rPr>
              <w:rFonts w:eastAsia="仿宋"/>
              <w:color w:val="auto"/>
            </w:rPr>
            <w:fldChar w:fldCharType="end"/>
          </w:r>
        </w:p>
        <w:p w14:paraId="155164A8">
          <w:pPr>
            <w:pStyle w:val="12"/>
            <w:ind w:left="560" w:firstLine="0" w:firstLineChars="0"/>
            <w:rPr>
              <w:rFonts w:eastAsia="仿宋"/>
              <w:color w:val="auto"/>
            </w:rPr>
          </w:pPr>
          <w:r>
            <w:rPr>
              <w:color w:val="auto"/>
            </w:rPr>
            <w:fldChar w:fldCharType="begin"/>
          </w:r>
          <w:r>
            <w:rPr>
              <w:color w:val="auto"/>
            </w:rPr>
            <w:instrText xml:space="preserve"> HYPERLINK \l "_Toc8172" </w:instrText>
          </w:r>
          <w:r>
            <w:rPr>
              <w:color w:val="auto"/>
            </w:rPr>
            <w:fldChar w:fldCharType="separate"/>
          </w:r>
          <w:r>
            <w:rPr>
              <w:rFonts w:hint="eastAsia" w:eastAsia="仿宋"/>
              <w:color w:val="auto"/>
            </w:rPr>
            <w:t>3.5 无污染物排放养殖区</w:t>
          </w:r>
          <w:r>
            <w:rPr>
              <w:rFonts w:eastAsia="仿宋"/>
              <w:color w:val="auto"/>
            </w:rPr>
            <w:tab/>
          </w:r>
          <w:r>
            <w:rPr>
              <w:rFonts w:eastAsia="仿宋"/>
              <w:color w:val="auto"/>
            </w:rPr>
            <w:fldChar w:fldCharType="begin"/>
          </w:r>
          <w:r>
            <w:rPr>
              <w:rFonts w:eastAsia="仿宋"/>
              <w:color w:val="auto"/>
            </w:rPr>
            <w:instrText xml:space="preserve"> PAGEREF _Toc8172 \h </w:instrText>
          </w:r>
          <w:r>
            <w:rPr>
              <w:rFonts w:eastAsia="仿宋"/>
              <w:color w:val="auto"/>
            </w:rPr>
            <w:fldChar w:fldCharType="separate"/>
          </w:r>
          <w:r>
            <w:rPr>
              <w:rFonts w:eastAsia="仿宋"/>
              <w:color w:val="auto"/>
            </w:rPr>
            <w:t>7</w:t>
          </w:r>
          <w:r>
            <w:rPr>
              <w:rFonts w:eastAsia="仿宋"/>
              <w:color w:val="auto"/>
            </w:rPr>
            <w:fldChar w:fldCharType="end"/>
          </w:r>
          <w:r>
            <w:rPr>
              <w:rFonts w:eastAsia="仿宋"/>
              <w:color w:val="auto"/>
            </w:rPr>
            <w:fldChar w:fldCharType="end"/>
          </w:r>
        </w:p>
        <w:p w14:paraId="166D5619">
          <w:pPr>
            <w:pStyle w:val="12"/>
            <w:ind w:left="560" w:firstLine="0" w:firstLineChars="0"/>
            <w:rPr>
              <w:rFonts w:eastAsia="仿宋"/>
              <w:color w:val="auto"/>
            </w:rPr>
          </w:pPr>
          <w:r>
            <w:rPr>
              <w:color w:val="auto"/>
            </w:rPr>
            <w:fldChar w:fldCharType="begin"/>
          </w:r>
          <w:r>
            <w:rPr>
              <w:color w:val="auto"/>
            </w:rPr>
            <w:instrText xml:space="preserve"> HYPERLINK \l "_Toc29712" </w:instrText>
          </w:r>
          <w:r>
            <w:rPr>
              <w:color w:val="auto"/>
            </w:rPr>
            <w:fldChar w:fldCharType="separate"/>
          </w:r>
          <w:r>
            <w:rPr>
              <w:rFonts w:hint="eastAsia" w:eastAsia="仿宋"/>
              <w:color w:val="auto"/>
            </w:rPr>
            <w:t>3.6 无害化处理</w:t>
          </w:r>
          <w:r>
            <w:rPr>
              <w:rFonts w:eastAsia="仿宋"/>
              <w:color w:val="auto"/>
            </w:rPr>
            <w:tab/>
          </w:r>
          <w:r>
            <w:rPr>
              <w:rFonts w:eastAsia="仿宋"/>
              <w:color w:val="auto"/>
            </w:rPr>
            <w:fldChar w:fldCharType="begin"/>
          </w:r>
          <w:r>
            <w:rPr>
              <w:rFonts w:eastAsia="仿宋"/>
              <w:color w:val="auto"/>
            </w:rPr>
            <w:instrText xml:space="preserve"> PAGEREF _Toc29712 \h </w:instrText>
          </w:r>
          <w:r>
            <w:rPr>
              <w:rFonts w:eastAsia="仿宋"/>
              <w:color w:val="auto"/>
            </w:rPr>
            <w:fldChar w:fldCharType="separate"/>
          </w:r>
          <w:r>
            <w:rPr>
              <w:rFonts w:eastAsia="仿宋"/>
              <w:color w:val="auto"/>
            </w:rPr>
            <w:t>8</w:t>
          </w:r>
          <w:r>
            <w:rPr>
              <w:rFonts w:eastAsia="仿宋"/>
              <w:color w:val="auto"/>
            </w:rPr>
            <w:fldChar w:fldCharType="end"/>
          </w:r>
          <w:r>
            <w:rPr>
              <w:rFonts w:eastAsia="仿宋"/>
              <w:color w:val="auto"/>
            </w:rPr>
            <w:fldChar w:fldCharType="end"/>
          </w:r>
        </w:p>
        <w:p w14:paraId="3C0BB10D">
          <w:pPr>
            <w:pStyle w:val="12"/>
            <w:ind w:left="560" w:firstLine="0" w:firstLineChars="0"/>
            <w:rPr>
              <w:rFonts w:eastAsia="仿宋"/>
              <w:color w:val="auto"/>
            </w:rPr>
          </w:pPr>
          <w:r>
            <w:rPr>
              <w:color w:val="auto"/>
            </w:rPr>
            <w:fldChar w:fldCharType="begin"/>
          </w:r>
          <w:r>
            <w:rPr>
              <w:color w:val="auto"/>
            </w:rPr>
            <w:instrText xml:space="preserve"> HYPERLINK \l "_Toc22576" </w:instrText>
          </w:r>
          <w:r>
            <w:rPr>
              <w:color w:val="auto"/>
            </w:rPr>
            <w:fldChar w:fldCharType="separate"/>
          </w:r>
          <w:r>
            <w:rPr>
              <w:rFonts w:hint="eastAsia" w:eastAsia="仿宋"/>
              <w:color w:val="auto"/>
            </w:rPr>
            <w:t>3.7 畜禽粪污资源化利用</w:t>
          </w:r>
          <w:r>
            <w:rPr>
              <w:rFonts w:eastAsia="仿宋"/>
              <w:color w:val="auto"/>
            </w:rPr>
            <w:tab/>
          </w:r>
          <w:r>
            <w:rPr>
              <w:rFonts w:eastAsia="仿宋"/>
              <w:color w:val="auto"/>
            </w:rPr>
            <w:fldChar w:fldCharType="begin"/>
          </w:r>
          <w:r>
            <w:rPr>
              <w:rFonts w:eastAsia="仿宋"/>
              <w:color w:val="auto"/>
            </w:rPr>
            <w:instrText xml:space="preserve"> PAGEREF _Toc22576 \h </w:instrText>
          </w:r>
          <w:r>
            <w:rPr>
              <w:rFonts w:eastAsia="仿宋"/>
              <w:color w:val="auto"/>
            </w:rPr>
            <w:fldChar w:fldCharType="separate"/>
          </w:r>
          <w:r>
            <w:rPr>
              <w:rFonts w:eastAsia="仿宋"/>
              <w:color w:val="auto"/>
            </w:rPr>
            <w:t>8</w:t>
          </w:r>
          <w:r>
            <w:rPr>
              <w:rFonts w:eastAsia="仿宋"/>
              <w:color w:val="auto"/>
            </w:rPr>
            <w:fldChar w:fldCharType="end"/>
          </w:r>
          <w:r>
            <w:rPr>
              <w:rFonts w:eastAsia="仿宋"/>
              <w:color w:val="auto"/>
            </w:rPr>
            <w:fldChar w:fldCharType="end"/>
          </w:r>
        </w:p>
        <w:p w14:paraId="38606A20">
          <w:pPr>
            <w:pStyle w:val="12"/>
            <w:ind w:left="560" w:firstLine="0" w:firstLineChars="0"/>
            <w:rPr>
              <w:rFonts w:eastAsia="仿宋"/>
              <w:color w:val="auto"/>
            </w:rPr>
          </w:pPr>
          <w:r>
            <w:rPr>
              <w:color w:val="auto"/>
            </w:rPr>
            <w:fldChar w:fldCharType="begin"/>
          </w:r>
          <w:r>
            <w:rPr>
              <w:color w:val="auto"/>
            </w:rPr>
            <w:instrText xml:space="preserve"> HYPERLINK \l "_Toc28953" </w:instrText>
          </w:r>
          <w:r>
            <w:rPr>
              <w:color w:val="auto"/>
            </w:rPr>
            <w:fldChar w:fldCharType="separate"/>
          </w:r>
          <w:r>
            <w:rPr>
              <w:rFonts w:hint="eastAsia" w:eastAsia="仿宋"/>
              <w:color w:val="auto"/>
            </w:rPr>
            <w:t>3.8 “</w:t>
          </w:r>
          <w:r>
            <w:rPr>
              <w:rFonts w:eastAsia="仿宋"/>
              <w:color w:val="auto"/>
            </w:rPr>
            <w:t>三区三线</w:t>
          </w:r>
          <w:r>
            <w:rPr>
              <w:rFonts w:hint="eastAsia" w:eastAsia="仿宋"/>
              <w:color w:val="auto"/>
            </w:rPr>
            <w:t>”</w:t>
          </w:r>
          <w:r>
            <w:rPr>
              <w:rFonts w:eastAsia="仿宋"/>
              <w:color w:val="auto"/>
            </w:rPr>
            <w:tab/>
          </w:r>
          <w:r>
            <w:rPr>
              <w:rFonts w:eastAsia="仿宋"/>
              <w:color w:val="auto"/>
            </w:rPr>
            <w:fldChar w:fldCharType="begin"/>
          </w:r>
          <w:r>
            <w:rPr>
              <w:rFonts w:eastAsia="仿宋"/>
              <w:color w:val="auto"/>
            </w:rPr>
            <w:instrText xml:space="preserve"> PAGEREF _Toc28953 \h </w:instrText>
          </w:r>
          <w:r>
            <w:rPr>
              <w:rFonts w:eastAsia="仿宋"/>
              <w:color w:val="auto"/>
            </w:rPr>
            <w:fldChar w:fldCharType="separate"/>
          </w:r>
          <w:r>
            <w:rPr>
              <w:rFonts w:eastAsia="仿宋"/>
              <w:color w:val="auto"/>
            </w:rPr>
            <w:t>8</w:t>
          </w:r>
          <w:r>
            <w:rPr>
              <w:rFonts w:eastAsia="仿宋"/>
              <w:color w:val="auto"/>
            </w:rPr>
            <w:fldChar w:fldCharType="end"/>
          </w:r>
          <w:r>
            <w:rPr>
              <w:rFonts w:eastAsia="仿宋"/>
              <w:color w:val="auto"/>
            </w:rPr>
            <w:fldChar w:fldCharType="end"/>
          </w:r>
        </w:p>
        <w:p w14:paraId="44E6865B">
          <w:pPr>
            <w:pStyle w:val="11"/>
            <w:ind w:firstLine="0" w:firstLineChars="0"/>
            <w:rPr>
              <w:rFonts w:eastAsia="仿宋"/>
              <w:color w:val="auto"/>
            </w:rPr>
          </w:pPr>
          <w:r>
            <w:rPr>
              <w:color w:val="auto"/>
            </w:rPr>
            <w:fldChar w:fldCharType="begin"/>
          </w:r>
          <w:r>
            <w:rPr>
              <w:color w:val="auto"/>
            </w:rPr>
            <w:instrText xml:space="preserve"> HYPERLINK \l "_Toc19384" </w:instrText>
          </w:r>
          <w:r>
            <w:rPr>
              <w:color w:val="auto"/>
            </w:rPr>
            <w:fldChar w:fldCharType="separate"/>
          </w:r>
          <w:r>
            <w:rPr>
              <w:rFonts w:hint="eastAsia" w:eastAsia="仿宋"/>
              <w:color w:val="auto"/>
            </w:rPr>
            <w:t>4.</w:t>
          </w:r>
          <w:r>
            <w:rPr>
              <w:rFonts w:eastAsia="仿宋"/>
              <w:color w:val="auto"/>
            </w:rPr>
            <w:t>实施</w:t>
          </w:r>
          <w:r>
            <w:rPr>
              <w:rFonts w:hint="eastAsia" w:eastAsia="仿宋"/>
              <w:color w:val="auto"/>
            </w:rPr>
            <w:t>范围及年限</w:t>
          </w:r>
          <w:r>
            <w:rPr>
              <w:rFonts w:eastAsia="仿宋"/>
              <w:color w:val="auto"/>
            </w:rPr>
            <w:tab/>
          </w:r>
          <w:r>
            <w:rPr>
              <w:rFonts w:eastAsia="仿宋"/>
              <w:color w:val="auto"/>
            </w:rPr>
            <w:fldChar w:fldCharType="begin"/>
          </w:r>
          <w:r>
            <w:rPr>
              <w:rFonts w:eastAsia="仿宋"/>
              <w:color w:val="auto"/>
            </w:rPr>
            <w:instrText xml:space="preserve"> PAGEREF _Toc19384 \h </w:instrText>
          </w:r>
          <w:r>
            <w:rPr>
              <w:rFonts w:eastAsia="仿宋"/>
              <w:color w:val="auto"/>
            </w:rPr>
            <w:fldChar w:fldCharType="separate"/>
          </w:r>
          <w:r>
            <w:rPr>
              <w:rFonts w:eastAsia="仿宋"/>
              <w:color w:val="auto"/>
            </w:rPr>
            <w:t>9</w:t>
          </w:r>
          <w:r>
            <w:rPr>
              <w:rFonts w:eastAsia="仿宋"/>
              <w:color w:val="auto"/>
            </w:rPr>
            <w:fldChar w:fldCharType="end"/>
          </w:r>
          <w:r>
            <w:rPr>
              <w:rFonts w:eastAsia="仿宋"/>
              <w:color w:val="auto"/>
            </w:rPr>
            <w:fldChar w:fldCharType="end"/>
          </w:r>
        </w:p>
        <w:p w14:paraId="6AB230C2">
          <w:pPr>
            <w:pStyle w:val="12"/>
            <w:ind w:left="560" w:firstLine="0" w:firstLineChars="0"/>
            <w:rPr>
              <w:rFonts w:eastAsia="仿宋"/>
              <w:color w:val="auto"/>
            </w:rPr>
          </w:pPr>
          <w:r>
            <w:rPr>
              <w:color w:val="auto"/>
            </w:rPr>
            <w:fldChar w:fldCharType="begin"/>
          </w:r>
          <w:r>
            <w:rPr>
              <w:color w:val="auto"/>
            </w:rPr>
            <w:instrText xml:space="preserve"> HYPERLINK \l "_Toc4479" </w:instrText>
          </w:r>
          <w:r>
            <w:rPr>
              <w:color w:val="auto"/>
            </w:rPr>
            <w:fldChar w:fldCharType="separate"/>
          </w:r>
          <w:r>
            <w:rPr>
              <w:rFonts w:hint="eastAsia" w:eastAsia="仿宋"/>
              <w:color w:val="auto"/>
            </w:rPr>
            <w:t>4.1 实施范围</w:t>
          </w:r>
          <w:r>
            <w:rPr>
              <w:rFonts w:eastAsia="仿宋"/>
              <w:color w:val="auto"/>
            </w:rPr>
            <w:tab/>
          </w:r>
          <w:r>
            <w:rPr>
              <w:rFonts w:eastAsia="仿宋"/>
              <w:color w:val="auto"/>
            </w:rPr>
            <w:fldChar w:fldCharType="begin"/>
          </w:r>
          <w:r>
            <w:rPr>
              <w:rFonts w:eastAsia="仿宋"/>
              <w:color w:val="auto"/>
            </w:rPr>
            <w:instrText xml:space="preserve"> PAGEREF _Toc4479 \h </w:instrText>
          </w:r>
          <w:r>
            <w:rPr>
              <w:rFonts w:eastAsia="仿宋"/>
              <w:color w:val="auto"/>
            </w:rPr>
            <w:fldChar w:fldCharType="separate"/>
          </w:r>
          <w:r>
            <w:rPr>
              <w:rFonts w:eastAsia="仿宋"/>
              <w:color w:val="auto"/>
            </w:rPr>
            <w:t>9</w:t>
          </w:r>
          <w:r>
            <w:rPr>
              <w:rFonts w:eastAsia="仿宋"/>
              <w:color w:val="auto"/>
            </w:rPr>
            <w:fldChar w:fldCharType="end"/>
          </w:r>
          <w:r>
            <w:rPr>
              <w:rFonts w:eastAsia="仿宋"/>
              <w:color w:val="auto"/>
            </w:rPr>
            <w:fldChar w:fldCharType="end"/>
          </w:r>
        </w:p>
        <w:p w14:paraId="470847E3">
          <w:pPr>
            <w:pStyle w:val="12"/>
            <w:ind w:left="560" w:firstLine="0" w:firstLineChars="0"/>
            <w:rPr>
              <w:rFonts w:eastAsia="仿宋"/>
              <w:color w:val="auto"/>
            </w:rPr>
          </w:pPr>
          <w:r>
            <w:rPr>
              <w:color w:val="auto"/>
            </w:rPr>
            <w:fldChar w:fldCharType="begin"/>
          </w:r>
          <w:r>
            <w:rPr>
              <w:color w:val="auto"/>
            </w:rPr>
            <w:instrText xml:space="preserve"> HYPERLINK \l "_Toc11973" </w:instrText>
          </w:r>
          <w:r>
            <w:rPr>
              <w:color w:val="auto"/>
            </w:rPr>
            <w:fldChar w:fldCharType="separate"/>
          </w:r>
          <w:r>
            <w:rPr>
              <w:rFonts w:hint="eastAsia" w:eastAsia="仿宋"/>
              <w:color w:val="auto"/>
            </w:rPr>
            <w:t>4.2 实施年限</w:t>
          </w:r>
          <w:r>
            <w:rPr>
              <w:rFonts w:eastAsia="仿宋"/>
              <w:color w:val="auto"/>
            </w:rPr>
            <w:tab/>
          </w:r>
          <w:r>
            <w:rPr>
              <w:rFonts w:eastAsia="仿宋"/>
              <w:color w:val="auto"/>
            </w:rPr>
            <w:fldChar w:fldCharType="begin"/>
          </w:r>
          <w:r>
            <w:rPr>
              <w:rFonts w:eastAsia="仿宋"/>
              <w:color w:val="auto"/>
            </w:rPr>
            <w:instrText xml:space="preserve"> PAGEREF _Toc11973 \h </w:instrText>
          </w:r>
          <w:r>
            <w:rPr>
              <w:rFonts w:eastAsia="仿宋"/>
              <w:color w:val="auto"/>
            </w:rPr>
            <w:fldChar w:fldCharType="separate"/>
          </w:r>
          <w:r>
            <w:rPr>
              <w:rFonts w:eastAsia="仿宋"/>
              <w:color w:val="auto"/>
            </w:rPr>
            <w:t>9</w:t>
          </w:r>
          <w:r>
            <w:rPr>
              <w:rFonts w:eastAsia="仿宋"/>
              <w:color w:val="auto"/>
            </w:rPr>
            <w:fldChar w:fldCharType="end"/>
          </w:r>
          <w:r>
            <w:rPr>
              <w:rFonts w:eastAsia="仿宋"/>
              <w:color w:val="auto"/>
            </w:rPr>
            <w:fldChar w:fldCharType="end"/>
          </w:r>
        </w:p>
        <w:p w14:paraId="07D36473">
          <w:pPr>
            <w:pStyle w:val="11"/>
            <w:ind w:firstLine="0" w:firstLineChars="0"/>
            <w:rPr>
              <w:rFonts w:eastAsia="仿宋"/>
              <w:color w:val="auto"/>
            </w:rPr>
          </w:pPr>
          <w:r>
            <w:rPr>
              <w:color w:val="auto"/>
            </w:rPr>
            <w:fldChar w:fldCharType="begin"/>
          </w:r>
          <w:r>
            <w:rPr>
              <w:color w:val="auto"/>
            </w:rPr>
            <w:instrText xml:space="preserve"> HYPERLINK \l "_Toc11412" </w:instrText>
          </w:r>
          <w:r>
            <w:rPr>
              <w:color w:val="auto"/>
            </w:rPr>
            <w:fldChar w:fldCharType="separate"/>
          </w:r>
          <w:r>
            <w:rPr>
              <w:rFonts w:hint="eastAsia" w:eastAsia="仿宋"/>
              <w:color w:val="auto"/>
            </w:rPr>
            <w:t>5.禁养区调整方案</w:t>
          </w:r>
          <w:r>
            <w:rPr>
              <w:rFonts w:eastAsia="仿宋"/>
              <w:color w:val="auto"/>
            </w:rPr>
            <w:tab/>
          </w:r>
          <w:r>
            <w:rPr>
              <w:rFonts w:eastAsia="仿宋"/>
              <w:color w:val="auto"/>
            </w:rPr>
            <w:fldChar w:fldCharType="begin"/>
          </w:r>
          <w:r>
            <w:rPr>
              <w:rFonts w:eastAsia="仿宋"/>
              <w:color w:val="auto"/>
            </w:rPr>
            <w:instrText xml:space="preserve"> PAGEREF _Toc11412 \h </w:instrText>
          </w:r>
          <w:r>
            <w:rPr>
              <w:rFonts w:eastAsia="仿宋"/>
              <w:color w:val="auto"/>
            </w:rPr>
            <w:fldChar w:fldCharType="separate"/>
          </w:r>
          <w:r>
            <w:rPr>
              <w:rFonts w:eastAsia="仿宋"/>
              <w:color w:val="auto"/>
            </w:rPr>
            <w:t>11</w:t>
          </w:r>
          <w:r>
            <w:rPr>
              <w:rFonts w:eastAsia="仿宋"/>
              <w:color w:val="auto"/>
            </w:rPr>
            <w:fldChar w:fldCharType="end"/>
          </w:r>
          <w:r>
            <w:rPr>
              <w:rFonts w:eastAsia="仿宋"/>
              <w:color w:val="auto"/>
            </w:rPr>
            <w:fldChar w:fldCharType="end"/>
          </w:r>
        </w:p>
        <w:p w14:paraId="1C6D94A2">
          <w:pPr>
            <w:pStyle w:val="12"/>
            <w:ind w:left="560" w:firstLine="0" w:firstLineChars="0"/>
            <w:rPr>
              <w:rFonts w:eastAsia="仿宋"/>
              <w:color w:val="auto"/>
            </w:rPr>
          </w:pPr>
          <w:r>
            <w:rPr>
              <w:color w:val="auto"/>
            </w:rPr>
            <w:fldChar w:fldCharType="begin"/>
          </w:r>
          <w:r>
            <w:rPr>
              <w:color w:val="auto"/>
            </w:rPr>
            <w:instrText xml:space="preserve"> HYPERLINK \l "_Toc3567" </w:instrText>
          </w:r>
          <w:r>
            <w:rPr>
              <w:color w:val="auto"/>
            </w:rPr>
            <w:fldChar w:fldCharType="separate"/>
          </w:r>
          <w:r>
            <w:rPr>
              <w:rFonts w:hint="eastAsia" w:eastAsia="仿宋"/>
              <w:color w:val="auto"/>
            </w:rPr>
            <w:t>5.1 禁养区调整范围</w:t>
          </w:r>
          <w:r>
            <w:rPr>
              <w:rFonts w:eastAsia="仿宋"/>
              <w:color w:val="auto"/>
            </w:rPr>
            <w:tab/>
          </w:r>
          <w:r>
            <w:rPr>
              <w:rFonts w:eastAsia="仿宋"/>
              <w:color w:val="auto"/>
            </w:rPr>
            <w:fldChar w:fldCharType="begin"/>
          </w:r>
          <w:r>
            <w:rPr>
              <w:rFonts w:eastAsia="仿宋"/>
              <w:color w:val="auto"/>
            </w:rPr>
            <w:instrText xml:space="preserve"> PAGEREF _Toc3567 \h </w:instrText>
          </w:r>
          <w:r>
            <w:rPr>
              <w:rFonts w:eastAsia="仿宋"/>
              <w:color w:val="auto"/>
            </w:rPr>
            <w:fldChar w:fldCharType="separate"/>
          </w:r>
          <w:r>
            <w:rPr>
              <w:rFonts w:eastAsia="仿宋"/>
              <w:color w:val="auto"/>
            </w:rPr>
            <w:t>11</w:t>
          </w:r>
          <w:r>
            <w:rPr>
              <w:rFonts w:eastAsia="仿宋"/>
              <w:color w:val="auto"/>
            </w:rPr>
            <w:fldChar w:fldCharType="end"/>
          </w:r>
          <w:r>
            <w:rPr>
              <w:rFonts w:eastAsia="仿宋"/>
              <w:color w:val="auto"/>
            </w:rPr>
            <w:fldChar w:fldCharType="end"/>
          </w:r>
        </w:p>
        <w:p w14:paraId="0A99E530">
          <w:pPr>
            <w:pStyle w:val="12"/>
            <w:ind w:left="560" w:firstLine="0" w:firstLineChars="0"/>
            <w:rPr>
              <w:rFonts w:eastAsia="仿宋"/>
              <w:color w:val="auto"/>
            </w:rPr>
          </w:pPr>
          <w:r>
            <w:rPr>
              <w:color w:val="auto"/>
            </w:rPr>
            <w:fldChar w:fldCharType="begin"/>
          </w:r>
          <w:r>
            <w:rPr>
              <w:color w:val="auto"/>
            </w:rPr>
            <w:instrText xml:space="preserve"> HYPERLINK \l "_Toc30131" </w:instrText>
          </w:r>
          <w:r>
            <w:rPr>
              <w:color w:val="auto"/>
            </w:rPr>
            <w:fldChar w:fldCharType="separate"/>
          </w:r>
          <w:r>
            <w:rPr>
              <w:rFonts w:hint="eastAsia" w:eastAsia="仿宋"/>
              <w:color w:val="auto"/>
            </w:rPr>
            <w:t>5.2 养殖管理要求</w:t>
          </w:r>
          <w:r>
            <w:rPr>
              <w:rFonts w:eastAsia="仿宋"/>
              <w:color w:val="auto"/>
            </w:rPr>
            <w:tab/>
          </w:r>
          <w:r>
            <w:rPr>
              <w:rFonts w:eastAsia="仿宋"/>
              <w:color w:val="auto"/>
            </w:rPr>
            <w:fldChar w:fldCharType="begin"/>
          </w:r>
          <w:r>
            <w:rPr>
              <w:rFonts w:eastAsia="仿宋"/>
              <w:color w:val="auto"/>
            </w:rPr>
            <w:instrText xml:space="preserve"> PAGEREF _Toc30131 \h </w:instrText>
          </w:r>
          <w:r>
            <w:rPr>
              <w:rFonts w:eastAsia="仿宋"/>
              <w:color w:val="auto"/>
            </w:rPr>
            <w:fldChar w:fldCharType="separate"/>
          </w:r>
          <w:r>
            <w:rPr>
              <w:rFonts w:eastAsia="仿宋"/>
              <w:color w:val="auto"/>
            </w:rPr>
            <w:t>22</w:t>
          </w:r>
          <w:r>
            <w:rPr>
              <w:rFonts w:eastAsia="仿宋"/>
              <w:color w:val="auto"/>
            </w:rPr>
            <w:fldChar w:fldCharType="end"/>
          </w:r>
          <w:r>
            <w:rPr>
              <w:rFonts w:eastAsia="仿宋"/>
              <w:color w:val="auto"/>
            </w:rPr>
            <w:fldChar w:fldCharType="end"/>
          </w:r>
        </w:p>
        <w:p w14:paraId="1A29B2A9">
          <w:pPr>
            <w:pStyle w:val="11"/>
            <w:ind w:firstLine="0" w:firstLineChars="0"/>
            <w:rPr>
              <w:rFonts w:eastAsia="仿宋"/>
              <w:color w:val="auto"/>
            </w:rPr>
          </w:pPr>
          <w:r>
            <w:rPr>
              <w:color w:val="auto"/>
            </w:rPr>
            <w:fldChar w:fldCharType="begin"/>
          </w:r>
          <w:r>
            <w:rPr>
              <w:color w:val="auto"/>
            </w:rPr>
            <w:instrText xml:space="preserve"> HYPERLINK \l "_Toc27376" </w:instrText>
          </w:r>
          <w:r>
            <w:rPr>
              <w:color w:val="auto"/>
            </w:rPr>
            <w:fldChar w:fldCharType="separate"/>
          </w:r>
          <w:r>
            <w:rPr>
              <w:rFonts w:hint="eastAsia" w:eastAsia="仿宋"/>
              <w:color w:val="auto"/>
            </w:rPr>
            <w:t>6.</w:t>
          </w:r>
          <w:r>
            <w:rPr>
              <w:rFonts w:eastAsia="仿宋"/>
              <w:color w:val="auto"/>
            </w:rPr>
            <w:t>保障措施</w:t>
          </w:r>
          <w:r>
            <w:rPr>
              <w:rFonts w:eastAsia="仿宋"/>
              <w:color w:val="auto"/>
            </w:rPr>
            <w:tab/>
          </w:r>
          <w:r>
            <w:rPr>
              <w:rFonts w:eastAsia="仿宋"/>
              <w:color w:val="auto"/>
            </w:rPr>
            <w:fldChar w:fldCharType="begin"/>
          </w:r>
          <w:r>
            <w:rPr>
              <w:rFonts w:eastAsia="仿宋"/>
              <w:color w:val="auto"/>
            </w:rPr>
            <w:instrText xml:space="preserve"> PAGEREF _Toc27376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67EF0351">
          <w:pPr>
            <w:pStyle w:val="12"/>
            <w:ind w:left="560" w:firstLine="0" w:firstLineChars="0"/>
            <w:rPr>
              <w:rFonts w:eastAsia="仿宋"/>
              <w:color w:val="auto"/>
            </w:rPr>
          </w:pPr>
          <w:r>
            <w:rPr>
              <w:color w:val="auto"/>
            </w:rPr>
            <w:fldChar w:fldCharType="begin"/>
          </w:r>
          <w:r>
            <w:rPr>
              <w:color w:val="auto"/>
            </w:rPr>
            <w:instrText xml:space="preserve"> HYPERLINK \l "_Toc27355" </w:instrText>
          </w:r>
          <w:r>
            <w:rPr>
              <w:color w:val="auto"/>
            </w:rPr>
            <w:fldChar w:fldCharType="separate"/>
          </w:r>
          <w:r>
            <w:rPr>
              <w:rFonts w:hint="eastAsia" w:eastAsia="仿宋"/>
              <w:color w:val="auto"/>
            </w:rPr>
            <w:t xml:space="preserve">6.1 </w:t>
          </w:r>
          <w:r>
            <w:rPr>
              <w:rFonts w:eastAsia="仿宋"/>
              <w:color w:val="auto"/>
            </w:rPr>
            <w:t>强化组织领导，压实管理责任</w:t>
          </w:r>
          <w:r>
            <w:rPr>
              <w:rFonts w:eastAsia="仿宋"/>
              <w:color w:val="auto"/>
            </w:rPr>
            <w:tab/>
          </w:r>
          <w:r>
            <w:rPr>
              <w:rFonts w:eastAsia="仿宋"/>
              <w:color w:val="auto"/>
            </w:rPr>
            <w:fldChar w:fldCharType="begin"/>
          </w:r>
          <w:r>
            <w:rPr>
              <w:rFonts w:eastAsia="仿宋"/>
              <w:color w:val="auto"/>
            </w:rPr>
            <w:instrText xml:space="preserve"> PAGEREF _Toc27355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6C5503B7">
          <w:pPr>
            <w:pStyle w:val="12"/>
            <w:ind w:left="560" w:firstLine="0" w:firstLineChars="0"/>
            <w:rPr>
              <w:rFonts w:eastAsia="仿宋"/>
              <w:color w:val="auto"/>
            </w:rPr>
          </w:pPr>
          <w:r>
            <w:rPr>
              <w:color w:val="auto"/>
            </w:rPr>
            <w:fldChar w:fldCharType="begin"/>
          </w:r>
          <w:r>
            <w:rPr>
              <w:color w:val="auto"/>
            </w:rPr>
            <w:instrText xml:space="preserve"> HYPERLINK \l "_Toc29546" </w:instrText>
          </w:r>
          <w:r>
            <w:rPr>
              <w:color w:val="auto"/>
            </w:rPr>
            <w:fldChar w:fldCharType="separate"/>
          </w:r>
          <w:r>
            <w:rPr>
              <w:rFonts w:hint="eastAsia" w:eastAsia="仿宋"/>
              <w:color w:val="auto"/>
            </w:rPr>
            <w:t xml:space="preserve">6.2 </w:t>
          </w:r>
          <w:r>
            <w:rPr>
              <w:rFonts w:eastAsia="仿宋"/>
              <w:color w:val="auto"/>
            </w:rPr>
            <w:t>严格监督管理，推动法规落地</w:t>
          </w:r>
          <w:r>
            <w:rPr>
              <w:rFonts w:eastAsia="仿宋"/>
              <w:color w:val="auto"/>
            </w:rPr>
            <w:tab/>
          </w:r>
          <w:r>
            <w:rPr>
              <w:rFonts w:eastAsia="仿宋"/>
              <w:color w:val="auto"/>
            </w:rPr>
            <w:fldChar w:fldCharType="begin"/>
          </w:r>
          <w:r>
            <w:rPr>
              <w:rFonts w:eastAsia="仿宋"/>
              <w:color w:val="auto"/>
            </w:rPr>
            <w:instrText xml:space="preserve"> PAGEREF _Toc29546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7EB39ABC">
          <w:pPr>
            <w:pStyle w:val="12"/>
            <w:ind w:left="560" w:firstLine="0" w:firstLineChars="0"/>
            <w:rPr>
              <w:rFonts w:eastAsia="仿宋"/>
              <w:color w:val="auto"/>
            </w:rPr>
          </w:pPr>
          <w:r>
            <w:rPr>
              <w:color w:val="auto"/>
            </w:rPr>
            <w:fldChar w:fldCharType="begin"/>
          </w:r>
          <w:r>
            <w:rPr>
              <w:color w:val="auto"/>
            </w:rPr>
            <w:instrText xml:space="preserve"> HYPERLINK \l "_Toc2876" </w:instrText>
          </w:r>
          <w:r>
            <w:rPr>
              <w:color w:val="auto"/>
            </w:rPr>
            <w:fldChar w:fldCharType="separate"/>
          </w:r>
          <w:r>
            <w:rPr>
              <w:rFonts w:hint="eastAsia" w:eastAsia="仿宋"/>
              <w:color w:val="auto"/>
            </w:rPr>
            <w:t xml:space="preserve">6.3 </w:t>
          </w:r>
          <w:r>
            <w:rPr>
              <w:rFonts w:eastAsia="仿宋"/>
              <w:color w:val="auto"/>
            </w:rPr>
            <w:t>培树示范典型，强化科技支撑</w:t>
          </w:r>
          <w:r>
            <w:rPr>
              <w:rFonts w:eastAsia="仿宋"/>
              <w:color w:val="auto"/>
            </w:rPr>
            <w:tab/>
          </w:r>
          <w:r>
            <w:rPr>
              <w:rFonts w:eastAsia="仿宋"/>
              <w:color w:val="auto"/>
            </w:rPr>
            <w:fldChar w:fldCharType="begin"/>
          </w:r>
          <w:r>
            <w:rPr>
              <w:rFonts w:eastAsia="仿宋"/>
              <w:color w:val="auto"/>
            </w:rPr>
            <w:instrText xml:space="preserve"> PAGEREF _Toc2876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2971B7B4">
          <w:pPr>
            <w:pStyle w:val="12"/>
            <w:ind w:left="560" w:firstLine="0" w:firstLineChars="0"/>
            <w:rPr>
              <w:rFonts w:eastAsia="仿宋"/>
              <w:color w:val="auto"/>
            </w:rPr>
          </w:pPr>
          <w:r>
            <w:rPr>
              <w:color w:val="auto"/>
            </w:rPr>
            <w:fldChar w:fldCharType="begin"/>
          </w:r>
          <w:r>
            <w:rPr>
              <w:color w:val="auto"/>
            </w:rPr>
            <w:instrText xml:space="preserve"> HYPERLINK \l "_Toc4086" </w:instrText>
          </w:r>
          <w:r>
            <w:rPr>
              <w:color w:val="auto"/>
            </w:rPr>
            <w:fldChar w:fldCharType="separate"/>
          </w:r>
          <w:r>
            <w:rPr>
              <w:rFonts w:hint="eastAsia" w:eastAsia="仿宋"/>
              <w:color w:val="auto"/>
            </w:rPr>
            <w:t xml:space="preserve">6.4 </w:t>
          </w:r>
          <w:r>
            <w:rPr>
              <w:rFonts w:eastAsia="仿宋"/>
              <w:color w:val="auto"/>
            </w:rPr>
            <w:t>优化空间布局，建立长效机制</w:t>
          </w:r>
          <w:r>
            <w:rPr>
              <w:rFonts w:eastAsia="仿宋"/>
              <w:color w:val="auto"/>
            </w:rPr>
            <w:tab/>
          </w:r>
          <w:r>
            <w:rPr>
              <w:rFonts w:eastAsia="仿宋"/>
              <w:color w:val="auto"/>
            </w:rPr>
            <w:fldChar w:fldCharType="begin"/>
          </w:r>
          <w:r>
            <w:rPr>
              <w:rFonts w:eastAsia="仿宋"/>
              <w:color w:val="auto"/>
            </w:rPr>
            <w:instrText xml:space="preserve"> PAGEREF _Toc4086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2A401417">
          <w:pPr>
            <w:pStyle w:val="12"/>
            <w:ind w:left="560" w:firstLine="0" w:firstLineChars="0"/>
            <w:rPr>
              <w:rFonts w:eastAsia="仿宋"/>
              <w:color w:val="auto"/>
            </w:rPr>
          </w:pPr>
          <w:r>
            <w:rPr>
              <w:color w:val="auto"/>
            </w:rPr>
            <w:fldChar w:fldCharType="begin"/>
          </w:r>
          <w:r>
            <w:rPr>
              <w:color w:val="auto"/>
            </w:rPr>
            <w:instrText xml:space="preserve"> HYPERLINK \l "_Toc15146" </w:instrText>
          </w:r>
          <w:r>
            <w:rPr>
              <w:color w:val="auto"/>
            </w:rPr>
            <w:fldChar w:fldCharType="separate"/>
          </w:r>
          <w:r>
            <w:rPr>
              <w:rFonts w:hint="eastAsia" w:eastAsia="仿宋"/>
              <w:color w:val="auto"/>
            </w:rPr>
            <w:t>6.5 加强宣传引导，营造共治氛围</w:t>
          </w:r>
          <w:r>
            <w:rPr>
              <w:rFonts w:eastAsia="仿宋"/>
              <w:color w:val="auto"/>
            </w:rPr>
            <w:tab/>
          </w:r>
          <w:r>
            <w:rPr>
              <w:rFonts w:eastAsia="仿宋"/>
              <w:color w:val="auto"/>
            </w:rPr>
            <w:fldChar w:fldCharType="begin"/>
          </w:r>
          <w:r>
            <w:rPr>
              <w:rFonts w:eastAsia="仿宋"/>
              <w:color w:val="auto"/>
            </w:rPr>
            <w:instrText xml:space="preserve"> PAGEREF _Toc15146 \h </w:instrText>
          </w:r>
          <w:r>
            <w:rPr>
              <w:rFonts w:eastAsia="仿宋"/>
              <w:color w:val="auto"/>
            </w:rPr>
            <w:fldChar w:fldCharType="separate"/>
          </w:r>
          <w:r>
            <w:rPr>
              <w:rFonts w:eastAsia="仿宋"/>
              <w:color w:val="auto"/>
            </w:rPr>
            <w:t>24</w:t>
          </w:r>
          <w:r>
            <w:rPr>
              <w:rFonts w:eastAsia="仿宋"/>
              <w:color w:val="auto"/>
            </w:rPr>
            <w:fldChar w:fldCharType="end"/>
          </w:r>
          <w:r>
            <w:rPr>
              <w:rFonts w:eastAsia="仿宋"/>
              <w:color w:val="auto"/>
            </w:rPr>
            <w:fldChar w:fldCharType="end"/>
          </w:r>
        </w:p>
        <w:p w14:paraId="08A27F7B">
          <w:pPr>
            <w:widowControl/>
            <w:ind w:firstLine="0" w:firstLineChars="0"/>
            <w:rPr>
              <w:rFonts w:ascii="仿宋_GB2312" w:hAnsi="仿宋_GB2312" w:eastAsia="仿宋_GB2312" w:cs="仿宋_GB2312"/>
              <w:bCs/>
              <w:color w:val="auto"/>
              <w:szCs w:val="44"/>
              <w:lang w:bidi="ar"/>
            </w:rPr>
          </w:pPr>
          <w:r>
            <w:rPr>
              <w:bCs/>
              <w:color w:val="auto"/>
              <w:szCs w:val="28"/>
              <w:lang w:bidi="ar"/>
            </w:rPr>
            <w:fldChar w:fldCharType="end"/>
          </w:r>
        </w:p>
      </w:sdtContent>
    </w:sdt>
    <w:p w14:paraId="714A7D61">
      <w:pPr>
        <w:spacing w:before="160"/>
        <w:ind w:firstLine="0" w:firstLineChars="0"/>
        <w:rPr>
          <w:rFonts w:hint="eastAsia" w:ascii="宋体" w:hAnsi="宋体" w:cs="宋体"/>
          <w:b/>
          <w:color w:val="auto"/>
        </w:rPr>
      </w:pPr>
    </w:p>
    <w:p w14:paraId="68649B23">
      <w:pPr>
        <w:spacing w:before="160"/>
        <w:ind w:firstLine="562"/>
        <w:jc w:val="center"/>
        <w:rPr>
          <w:rFonts w:ascii="宋体" w:hAnsi="宋体" w:cs="宋体"/>
          <w:b/>
          <w:color w:val="auto"/>
        </w:rPr>
        <w:sectPr>
          <w:headerReference r:id="rId11" w:type="default"/>
          <w:footerReference r:id="rId12" w:type="default"/>
          <w:pgSz w:w="11906" w:h="16838"/>
          <w:pgMar w:top="1418" w:right="1418" w:bottom="1418" w:left="1418" w:header="850" w:footer="850" w:gutter="0"/>
          <w:pgNumType w:fmt="upperRoman" w:start="1"/>
          <w:cols w:space="720" w:num="1"/>
        </w:sectPr>
      </w:pPr>
    </w:p>
    <w:p w14:paraId="7B683394">
      <w:pPr>
        <w:pStyle w:val="2"/>
        <w:spacing w:before="120" w:after="120"/>
        <w:rPr>
          <w:color w:val="auto"/>
        </w:rPr>
      </w:pPr>
      <w:bookmarkStart w:id="46" w:name="_GoBack"/>
      <w:bookmarkEnd w:id="46"/>
      <w:bookmarkStart w:id="0" w:name="_Toc983"/>
      <w:r>
        <w:rPr>
          <w:rFonts w:hint="eastAsia"/>
          <w:color w:val="auto"/>
        </w:rPr>
        <w:t>1.方案背景与依据</w:t>
      </w:r>
      <w:bookmarkEnd w:id="0"/>
    </w:p>
    <w:p w14:paraId="1766FAAB">
      <w:pPr>
        <w:ind w:firstLine="560"/>
        <w:rPr>
          <w:color w:val="auto"/>
        </w:rPr>
      </w:pPr>
      <w:r>
        <w:rPr>
          <w:rFonts w:hint="eastAsia"/>
          <w:color w:val="auto"/>
        </w:rPr>
        <w:t>为贯彻落实《国务院办公厅关于稳定生猪生产促进转型升级的意见》（国办发〔2019〕44号）、《关于进一步规范畜禽养殖禁养区划定和管理促进生猪生产发展的通知》（环办土壤〔2019〕55号）、《广东省生态环境厅广东省农业农村厅关于开展广东省畜禽养殖禁养区划定情况排查的通知》（2019年9月16日）等文件要求，结合《汕头市生态环境局 汕头市农业农村局关于开展汕头市畜禽养殖禁养区划定情况排查的通知》（汕市环知〔2019〕65号）和《畜禽养殖禁养区划定技术指南》（环办水体〔2016〕99号），汕头市濠江区人民政府办公室2020年于正式印发了《汕头市濠江区畜禽养殖禁养区区划调整方案》（汕濠府办〔2020〕1号），禁养区总面积为84.364平方千米，占濠江区行政区面积（169.59平方公里）的49.74%。其中禁止建设养殖区域面积为75.884平方公里，禁止建设有污染物排放的养殖场区域面积为8.48平方公里。</w:t>
      </w:r>
    </w:p>
    <w:p w14:paraId="12D62065">
      <w:pPr>
        <w:ind w:firstLine="560"/>
        <w:rPr>
          <w:color w:val="auto"/>
        </w:rPr>
      </w:pPr>
      <w:r>
        <w:rPr>
          <w:rFonts w:hint="eastAsia"/>
          <w:color w:val="auto"/>
        </w:rPr>
        <w:t>随着《汕头市国土空间总体规划（2021-2035年）》的印发实施，根据濠江区最新的“三区三线”（三区：城镇空间、农业空间、生态空间；三线：城镇开发边界、永久基本农田、生态保护红线）划定成果，全区城镇开发边界范围和永久基本农田范围相比《原方案》发布时已发生了变化，《原方案》部分内容与实际管理情况已不一致，有必要对汕头市濠江区畜禽养殖禁养区进行优化调整。</w:t>
      </w:r>
    </w:p>
    <w:p w14:paraId="36CC5134">
      <w:pPr>
        <w:ind w:firstLine="560"/>
        <w:rPr>
          <w:color w:val="auto"/>
        </w:rPr>
      </w:pPr>
      <w:r>
        <w:rPr>
          <w:color w:val="auto"/>
        </w:rPr>
        <w:t>鉴于原《汕头市濠江区畜禽养殖禁养区划定方案》（汕濠府办〔2020〕1号）已于2025年2月实施届满，为科学优化养殖布局，强化生态环境保护，根据《中华人民共和国畜牧法》、《畜禽规模养殖污染防治条例》、《中华人民共和国海域使用管理法》、《中华人民共和国土地管理法》及广东省生态环境厅、农业农村厅相关管理要求，结合汕头市濠江区国土空间规划、生态环境保护目标及乡村振兴发展需求，对</w:t>
      </w:r>
      <w:r>
        <w:rPr>
          <w:rFonts w:hint="eastAsia"/>
          <w:color w:val="auto"/>
        </w:rPr>
        <w:t>濠江</w:t>
      </w:r>
      <w:r>
        <w:rPr>
          <w:color w:val="auto"/>
        </w:rPr>
        <w:t>区畜禽养殖禁养区进行调整，特制定本方案。</w:t>
      </w:r>
    </w:p>
    <w:p w14:paraId="168C056F">
      <w:pPr>
        <w:pStyle w:val="2"/>
        <w:spacing w:before="120" w:after="120"/>
        <w:rPr>
          <w:color w:val="auto"/>
        </w:rPr>
      </w:pPr>
      <w:bookmarkStart w:id="1" w:name="_Toc9523"/>
      <w:r>
        <w:rPr>
          <w:rFonts w:hint="eastAsia"/>
          <w:color w:val="auto"/>
        </w:rPr>
        <w:t>2.指导思想及依据、原则与目标</w:t>
      </w:r>
      <w:bookmarkEnd w:id="1"/>
    </w:p>
    <w:p w14:paraId="6A4CBC22">
      <w:pPr>
        <w:pStyle w:val="3"/>
        <w:rPr>
          <w:color w:val="auto"/>
        </w:rPr>
      </w:pPr>
      <w:bookmarkStart w:id="2" w:name="_Toc19255"/>
      <w:r>
        <w:rPr>
          <w:color w:val="auto"/>
        </w:rPr>
        <w:t>2.1</w:t>
      </w:r>
      <w:r>
        <w:rPr>
          <w:rFonts w:hint="eastAsia"/>
          <w:color w:val="auto"/>
        </w:rPr>
        <w:t xml:space="preserve"> </w:t>
      </w:r>
      <w:r>
        <w:rPr>
          <w:color w:val="auto"/>
        </w:rPr>
        <w:t>指导思想</w:t>
      </w:r>
      <w:bookmarkEnd w:id="2"/>
    </w:p>
    <w:p w14:paraId="39F54AF9">
      <w:pPr>
        <w:ind w:firstLine="560"/>
        <w:rPr>
          <w:color w:val="auto"/>
        </w:rPr>
      </w:pPr>
      <w:r>
        <w:rPr>
          <w:color w:val="auto"/>
        </w:rPr>
        <w:t>以习近平新时代中国特色社会主义思想为指导，</w:t>
      </w:r>
      <w:r>
        <w:rPr>
          <w:rFonts w:hint="eastAsia"/>
          <w:color w:val="auto"/>
        </w:rPr>
        <w:t>全面</w:t>
      </w:r>
      <w:r>
        <w:rPr>
          <w:color w:val="auto"/>
        </w:rPr>
        <w:t>贯彻党的二十大和二十届</w:t>
      </w:r>
      <w:r>
        <w:rPr>
          <w:rFonts w:hint="eastAsia"/>
          <w:color w:val="auto"/>
        </w:rPr>
        <w:t>四</w:t>
      </w:r>
      <w:r>
        <w:rPr>
          <w:color w:val="auto"/>
        </w:rPr>
        <w:t>中全会精神，深入</w:t>
      </w:r>
      <w:r>
        <w:rPr>
          <w:rFonts w:hint="eastAsia"/>
          <w:color w:val="auto"/>
        </w:rPr>
        <w:t>落实</w:t>
      </w:r>
      <w:r>
        <w:rPr>
          <w:color w:val="auto"/>
        </w:rPr>
        <w:t>习近平</w:t>
      </w:r>
      <w:r>
        <w:rPr>
          <w:rFonts w:hint="eastAsia"/>
          <w:color w:val="auto"/>
        </w:rPr>
        <w:t>生态文明思想和</w:t>
      </w:r>
      <w:r>
        <w:rPr>
          <w:color w:val="auto"/>
        </w:rPr>
        <w:t>重要讲话精神，以</w:t>
      </w:r>
      <w:r>
        <w:rPr>
          <w:rFonts w:hint="eastAsia"/>
          <w:color w:val="auto"/>
        </w:rPr>
        <w:t>推动</w:t>
      </w:r>
      <w:r>
        <w:rPr>
          <w:color w:val="auto"/>
        </w:rPr>
        <w:t>畜禽养殖业</w:t>
      </w:r>
      <w:r>
        <w:rPr>
          <w:rFonts w:hint="eastAsia"/>
          <w:color w:val="auto"/>
        </w:rPr>
        <w:t>绿色</w:t>
      </w:r>
      <w:r>
        <w:rPr>
          <w:color w:val="auto"/>
        </w:rPr>
        <w:t>可持续发展和改善生态环境质量为目标，促进全区畜禽养殖业持续健康发展，</w:t>
      </w:r>
      <w:r>
        <w:rPr>
          <w:rFonts w:hint="eastAsia"/>
          <w:color w:val="auto"/>
        </w:rPr>
        <w:t>强化源头管控、布局优化和污染综合治理，</w:t>
      </w:r>
      <w:r>
        <w:rPr>
          <w:color w:val="auto"/>
        </w:rPr>
        <w:t>通过科学划定畜禽禁养区，调整优化全区畜禽养殖业的生产布局，</w:t>
      </w:r>
      <w:r>
        <w:rPr>
          <w:rFonts w:hint="eastAsia"/>
          <w:color w:val="auto"/>
        </w:rPr>
        <w:t>推进畜禽粪污资源化利用和生态环境保护协同增效</w:t>
      </w:r>
      <w:r>
        <w:rPr>
          <w:color w:val="auto"/>
        </w:rPr>
        <w:t>，实现</w:t>
      </w:r>
      <w:r>
        <w:rPr>
          <w:rFonts w:hint="eastAsia"/>
          <w:color w:val="auto"/>
        </w:rPr>
        <w:t>环境资源高效配置和合理利用，促进</w:t>
      </w:r>
      <w:r>
        <w:rPr>
          <w:color w:val="auto"/>
        </w:rPr>
        <w:t>自然生态与社会经济系统</w:t>
      </w:r>
      <w:r>
        <w:rPr>
          <w:rFonts w:hint="eastAsia"/>
          <w:color w:val="auto"/>
        </w:rPr>
        <w:t>的</w:t>
      </w:r>
      <w:r>
        <w:rPr>
          <w:color w:val="auto"/>
        </w:rPr>
        <w:t>协调、健康、</w:t>
      </w:r>
      <w:r>
        <w:rPr>
          <w:rFonts w:hint="eastAsia"/>
          <w:color w:val="auto"/>
        </w:rPr>
        <w:t>高质量</w:t>
      </w:r>
      <w:r>
        <w:rPr>
          <w:color w:val="auto"/>
        </w:rPr>
        <w:t>可持续发展。</w:t>
      </w:r>
    </w:p>
    <w:p w14:paraId="2B9DC155">
      <w:pPr>
        <w:pStyle w:val="3"/>
        <w:rPr>
          <w:color w:val="auto"/>
        </w:rPr>
      </w:pPr>
      <w:bookmarkStart w:id="3" w:name="_Toc11598"/>
      <w:r>
        <w:rPr>
          <w:rFonts w:hint="eastAsia"/>
          <w:color w:val="auto"/>
        </w:rPr>
        <w:t>2.2 划定依据</w:t>
      </w:r>
      <w:bookmarkEnd w:id="3"/>
    </w:p>
    <w:p w14:paraId="4C9F4BA4">
      <w:pPr>
        <w:pStyle w:val="4"/>
        <w:ind w:firstLine="602"/>
        <w:rPr>
          <w:color w:val="auto"/>
        </w:rPr>
      </w:pPr>
      <w:bookmarkStart w:id="4" w:name="_Toc29523"/>
      <w:r>
        <w:rPr>
          <w:rFonts w:hint="eastAsia"/>
          <w:color w:val="auto"/>
        </w:rPr>
        <w:t>2.2.1 国家相关文件</w:t>
      </w:r>
      <w:bookmarkEnd w:id="4"/>
    </w:p>
    <w:p w14:paraId="7942DCAC">
      <w:pPr>
        <w:ind w:firstLine="560"/>
        <w:rPr>
          <w:color w:val="auto"/>
        </w:rPr>
      </w:pPr>
      <w:r>
        <w:rPr>
          <w:color w:val="auto"/>
        </w:rPr>
        <w:t>（1）《中华人民共和国环境保护法》（2014年4月修订）；</w:t>
      </w:r>
    </w:p>
    <w:p w14:paraId="4576457D">
      <w:pPr>
        <w:ind w:firstLine="560"/>
        <w:rPr>
          <w:color w:val="auto"/>
        </w:rPr>
      </w:pPr>
      <w:r>
        <w:rPr>
          <w:color w:val="auto"/>
        </w:rPr>
        <w:t>（2）《中华人民共和国畜牧法》（2022年10月修订）；</w:t>
      </w:r>
    </w:p>
    <w:p w14:paraId="458DD372">
      <w:pPr>
        <w:ind w:firstLine="560"/>
        <w:rPr>
          <w:color w:val="auto"/>
        </w:rPr>
      </w:pPr>
      <w:r>
        <w:rPr>
          <w:color w:val="auto"/>
        </w:rPr>
        <w:t>（3）《中华人民共和国大气污染防治法》（2018年10月修正）；</w:t>
      </w:r>
    </w:p>
    <w:p w14:paraId="04788F49">
      <w:pPr>
        <w:ind w:firstLine="560"/>
        <w:rPr>
          <w:color w:val="auto"/>
        </w:rPr>
      </w:pPr>
      <w:r>
        <w:rPr>
          <w:color w:val="auto"/>
        </w:rPr>
        <w:t>（4）《中华人民共和国水污染防治法》（2017年6月修订）；</w:t>
      </w:r>
    </w:p>
    <w:p w14:paraId="08CCDB63">
      <w:pPr>
        <w:ind w:firstLine="560"/>
        <w:rPr>
          <w:color w:val="auto"/>
        </w:rPr>
      </w:pPr>
      <w:r>
        <w:rPr>
          <w:color w:val="auto"/>
        </w:rPr>
        <w:t>（5）《中华人民共和国城乡规划法》（2019年4月修订）；</w:t>
      </w:r>
    </w:p>
    <w:p w14:paraId="736A828B">
      <w:pPr>
        <w:ind w:firstLine="560"/>
        <w:rPr>
          <w:color w:val="auto"/>
        </w:rPr>
      </w:pPr>
      <w:r>
        <w:rPr>
          <w:color w:val="auto"/>
        </w:rPr>
        <w:t>（6）《基本农田保护条例》（2011年1月修订）；</w:t>
      </w:r>
    </w:p>
    <w:p w14:paraId="3A1C4D81">
      <w:pPr>
        <w:ind w:firstLine="560"/>
        <w:rPr>
          <w:color w:val="auto"/>
        </w:rPr>
      </w:pPr>
      <w:r>
        <w:rPr>
          <w:color w:val="auto"/>
        </w:rPr>
        <w:t>（7）《国务院关于印发水污染防治行动计划的通知》（国发〔2015〕17号）；</w:t>
      </w:r>
    </w:p>
    <w:p w14:paraId="675E8892">
      <w:pPr>
        <w:ind w:firstLine="560"/>
        <w:rPr>
          <w:color w:val="auto"/>
        </w:rPr>
      </w:pPr>
      <w:r>
        <w:rPr>
          <w:color w:val="auto"/>
        </w:rPr>
        <w:t>（8）《中华人民共和国河道管理条例》（2018年3月修订）；</w:t>
      </w:r>
    </w:p>
    <w:p w14:paraId="5FDD7DAD">
      <w:pPr>
        <w:ind w:firstLine="560"/>
        <w:rPr>
          <w:color w:val="auto"/>
        </w:rPr>
      </w:pPr>
      <w:r>
        <w:rPr>
          <w:color w:val="auto"/>
        </w:rPr>
        <w:t>（9）《畜禽规模养殖污染防治条例》（中华人民共和国国务院令第643号令）；</w:t>
      </w:r>
    </w:p>
    <w:p w14:paraId="1E04A48A">
      <w:pPr>
        <w:ind w:firstLine="560"/>
        <w:rPr>
          <w:rFonts w:eastAsia="仿宋_GB2312"/>
          <w:color w:val="auto"/>
          <w:szCs w:val="28"/>
        </w:rPr>
      </w:pPr>
      <w:r>
        <w:rPr>
          <w:rFonts w:eastAsia="仿宋_GB2312"/>
          <w:color w:val="auto"/>
          <w:szCs w:val="28"/>
        </w:rPr>
        <w:t>（10）《关于做好畜禽规模养殖项目环境影响评价管理工作的通知》（环办环评〔2018〕31号）；</w:t>
      </w:r>
    </w:p>
    <w:p w14:paraId="1A5E7A73">
      <w:pPr>
        <w:ind w:firstLine="560"/>
        <w:rPr>
          <w:rFonts w:eastAsia="仿宋_GB2312"/>
          <w:color w:val="auto"/>
          <w:szCs w:val="28"/>
        </w:rPr>
      </w:pPr>
      <w:r>
        <w:rPr>
          <w:rFonts w:eastAsia="仿宋_GB2312"/>
          <w:color w:val="auto"/>
          <w:szCs w:val="28"/>
        </w:rPr>
        <w:t>（11）《国务院办公厅关于稳定生猪生产促进转型升级的意见》（国办发〔2019〕44号）；</w:t>
      </w:r>
    </w:p>
    <w:p w14:paraId="6A8EA1AC">
      <w:pPr>
        <w:ind w:firstLine="560"/>
        <w:rPr>
          <w:rFonts w:eastAsia="仿宋_GB2312"/>
          <w:color w:val="auto"/>
          <w:szCs w:val="28"/>
        </w:rPr>
      </w:pPr>
      <w:r>
        <w:rPr>
          <w:rFonts w:eastAsia="仿宋_GB2312"/>
          <w:color w:val="auto"/>
          <w:szCs w:val="28"/>
        </w:rPr>
        <w:t>（12）《关于印发畜禽养殖禁养区划定情况排查要求的通知》（环办土壤函〔2019〕735号）；</w:t>
      </w:r>
    </w:p>
    <w:p w14:paraId="3FE19F06">
      <w:pPr>
        <w:ind w:firstLine="560"/>
        <w:rPr>
          <w:rFonts w:eastAsia="仿宋_GB2312"/>
          <w:color w:val="auto"/>
          <w:szCs w:val="28"/>
        </w:rPr>
      </w:pPr>
      <w:r>
        <w:rPr>
          <w:rFonts w:eastAsia="仿宋_GB2312"/>
          <w:color w:val="auto"/>
          <w:szCs w:val="28"/>
        </w:rPr>
        <w:t>（13）《关于进一步规范畜禽养殖区划定和管理促进生猪生产发展的通知》（环办土壤〔2019〕55号）；</w:t>
      </w:r>
    </w:p>
    <w:p w14:paraId="41A6D99D">
      <w:pPr>
        <w:ind w:firstLine="560"/>
        <w:rPr>
          <w:rFonts w:eastAsia="仿宋_GB2312"/>
          <w:color w:val="auto"/>
          <w:szCs w:val="28"/>
        </w:rPr>
      </w:pPr>
      <w:r>
        <w:rPr>
          <w:rFonts w:eastAsia="仿宋_GB2312"/>
          <w:color w:val="auto"/>
          <w:szCs w:val="28"/>
        </w:rPr>
        <w:t>（14）《关于进一步规范畜禽养殖禁养区管理的通知》（环办土壤〔2020〕33号）；</w:t>
      </w:r>
    </w:p>
    <w:p w14:paraId="11ABE333">
      <w:pPr>
        <w:ind w:firstLine="560"/>
        <w:rPr>
          <w:rFonts w:eastAsia="仿宋_GB2312"/>
          <w:color w:val="auto"/>
          <w:szCs w:val="28"/>
        </w:rPr>
      </w:pPr>
      <w:r>
        <w:rPr>
          <w:rFonts w:eastAsia="仿宋_GB2312"/>
          <w:color w:val="auto"/>
          <w:szCs w:val="28"/>
        </w:rPr>
        <w:t>（15）《自然资源部办公厅关于北京等省（区、市）启用</w:t>
      </w:r>
      <w:r>
        <w:rPr>
          <w:rFonts w:hint="eastAsia" w:eastAsia="仿宋_GB2312"/>
          <w:color w:val="auto"/>
          <w:szCs w:val="28"/>
        </w:rPr>
        <w:t>“</w:t>
      </w:r>
      <w:r>
        <w:rPr>
          <w:rFonts w:eastAsia="仿宋_GB2312"/>
          <w:color w:val="auto"/>
          <w:szCs w:val="28"/>
        </w:rPr>
        <w:t>三区三线</w:t>
      </w:r>
      <w:r>
        <w:rPr>
          <w:rFonts w:hint="eastAsia" w:eastAsia="仿宋_GB2312"/>
          <w:color w:val="auto"/>
          <w:szCs w:val="28"/>
        </w:rPr>
        <w:t>”</w:t>
      </w:r>
      <w:r>
        <w:rPr>
          <w:rFonts w:eastAsia="仿宋_GB2312"/>
          <w:color w:val="auto"/>
          <w:szCs w:val="28"/>
        </w:rPr>
        <w:t>划定成果作为报批建设项目用地用海依据的函》（自然资办函〔2022〕2207号）；</w:t>
      </w:r>
    </w:p>
    <w:p w14:paraId="3DD24DFC">
      <w:pPr>
        <w:ind w:firstLine="560"/>
        <w:rPr>
          <w:rFonts w:eastAsia="仿宋_GB2312"/>
          <w:color w:val="auto"/>
          <w:szCs w:val="28"/>
        </w:rPr>
      </w:pPr>
      <w:r>
        <w:rPr>
          <w:rFonts w:eastAsia="仿宋_GB2312"/>
          <w:color w:val="auto"/>
          <w:szCs w:val="28"/>
        </w:rPr>
        <w:t>（16）《自然资源部农业农村部国家林业和草原局关于严格耕地用途管制有关问题的通知》（自然资发〔2021〕166号）；</w:t>
      </w:r>
    </w:p>
    <w:p w14:paraId="2F1E6CC6">
      <w:pPr>
        <w:ind w:firstLine="560"/>
        <w:rPr>
          <w:rFonts w:eastAsia="仿宋_GB2312"/>
          <w:color w:val="auto"/>
          <w:szCs w:val="28"/>
        </w:rPr>
      </w:pPr>
      <w:r>
        <w:rPr>
          <w:rFonts w:eastAsia="仿宋_GB2312"/>
          <w:color w:val="auto"/>
          <w:szCs w:val="28"/>
        </w:rPr>
        <w:t>（17）《畜禽养殖场规模标准》（中华人民共和国农业农村部公告第927号）。</w:t>
      </w:r>
    </w:p>
    <w:p w14:paraId="0CBC824E">
      <w:pPr>
        <w:pStyle w:val="4"/>
        <w:ind w:firstLine="602"/>
        <w:rPr>
          <w:color w:val="auto"/>
        </w:rPr>
      </w:pPr>
      <w:bookmarkStart w:id="5" w:name="_Toc25178"/>
      <w:r>
        <w:rPr>
          <w:rFonts w:hint="eastAsia"/>
          <w:color w:val="auto"/>
        </w:rPr>
        <w:t>2.2.2 地方相关文件</w:t>
      </w:r>
      <w:bookmarkEnd w:id="5"/>
    </w:p>
    <w:p w14:paraId="2C4241B0">
      <w:pPr>
        <w:ind w:firstLine="560"/>
        <w:rPr>
          <w:color w:val="auto"/>
        </w:rPr>
      </w:pPr>
      <w:r>
        <w:rPr>
          <w:color w:val="auto"/>
        </w:rPr>
        <w:t>（1）《广东省环境保护条例》（2022年11月修订）；</w:t>
      </w:r>
    </w:p>
    <w:p w14:paraId="682C94AC">
      <w:pPr>
        <w:ind w:firstLine="560"/>
        <w:rPr>
          <w:color w:val="auto"/>
        </w:rPr>
      </w:pPr>
      <w:r>
        <w:rPr>
          <w:color w:val="auto"/>
        </w:rPr>
        <w:t>（2）《广东省水污染防治条例》（2021年9月修正）；</w:t>
      </w:r>
    </w:p>
    <w:p w14:paraId="6DD858E6">
      <w:pPr>
        <w:ind w:firstLine="560"/>
        <w:rPr>
          <w:color w:val="auto"/>
        </w:rPr>
      </w:pPr>
      <w:r>
        <w:rPr>
          <w:color w:val="auto"/>
        </w:rPr>
        <w:t>（3）《广东省大气污染防治条例》（2022年11月修正）；</w:t>
      </w:r>
    </w:p>
    <w:p w14:paraId="3F61C1C4">
      <w:pPr>
        <w:ind w:firstLine="560"/>
        <w:rPr>
          <w:color w:val="auto"/>
        </w:rPr>
      </w:pPr>
      <w:r>
        <w:rPr>
          <w:color w:val="auto"/>
        </w:rPr>
        <w:t>（4）《广东省水利工程管理条例》（2020年11月修正）；</w:t>
      </w:r>
    </w:p>
    <w:p w14:paraId="208520EF">
      <w:pPr>
        <w:ind w:firstLine="560"/>
        <w:rPr>
          <w:color w:val="auto"/>
        </w:rPr>
      </w:pPr>
      <w:r>
        <w:rPr>
          <w:color w:val="auto"/>
        </w:rPr>
        <w:t>（5）《广东省人民政府关于印发〈广东省水污染防治行动计划实施方案〉的通知》（粤府〔2015〕131号）；</w:t>
      </w:r>
    </w:p>
    <w:p w14:paraId="26270B53">
      <w:pPr>
        <w:ind w:firstLine="560"/>
        <w:rPr>
          <w:color w:val="auto"/>
        </w:rPr>
      </w:pPr>
      <w:r>
        <w:rPr>
          <w:color w:val="auto"/>
        </w:rPr>
        <w:t>（6）《关于印发〈广东省畜禽养殖水污染防治方案〉的通知》（粤农〔2016〕222号）；</w:t>
      </w:r>
    </w:p>
    <w:p w14:paraId="4366BA38">
      <w:pPr>
        <w:ind w:firstLine="560"/>
        <w:rPr>
          <w:color w:val="auto"/>
        </w:rPr>
      </w:pPr>
      <w:r>
        <w:rPr>
          <w:color w:val="auto"/>
        </w:rPr>
        <w:t>（7）《广东省人民政府办公厅关于印发〈广东省畜禽养殖废弃物资源化利用工作方案〉的通知》（粤办函〔2017〕735号）；</w:t>
      </w:r>
    </w:p>
    <w:p w14:paraId="47909B50">
      <w:pPr>
        <w:ind w:firstLine="560"/>
        <w:rPr>
          <w:color w:val="auto"/>
        </w:rPr>
      </w:pPr>
      <w:r>
        <w:rPr>
          <w:color w:val="auto"/>
        </w:rPr>
        <w:t>（8）《关于印发〈广东省畜禽养殖废弃物资源化利用工作考核办法（试行）〉的通知》（粤农〔2018〕160号）；</w:t>
      </w:r>
    </w:p>
    <w:p w14:paraId="227BE6B0">
      <w:pPr>
        <w:ind w:firstLine="560"/>
        <w:rPr>
          <w:color w:val="auto"/>
        </w:rPr>
      </w:pPr>
      <w:r>
        <w:rPr>
          <w:color w:val="auto"/>
        </w:rPr>
        <w:t>（9）《关于印发〈广东省畜禽养殖粪污处理与资源化利用技术指南（试行）〉的通知》（粤农农〔2018〕91号）；</w:t>
      </w:r>
    </w:p>
    <w:p w14:paraId="4BCFD6FD">
      <w:pPr>
        <w:ind w:firstLine="560"/>
        <w:rPr>
          <w:color w:val="auto"/>
        </w:rPr>
      </w:pPr>
      <w:r>
        <w:rPr>
          <w:color w:val="auto"/>
        </w:rPr>
        <w:t>（1</w:t>
      </w:r>
      <w:r>
        <w:rPr>
          <w:rFonts w:hint="eastAsia"/>
          <w:color w:val="auto"/>
        </w:rPr>
        <w:t>0</w:t>
      </w:r>
      <w:r>
        <w:rPr>
          <w:color w:val="auto"/>
        </w:rPr>
        <w:t>）《广东省农业农村厅种畜禽生产经营许可证发放和畜禽养殖备案办法》（粤农农规〔2019〕10号）；</w:t>
      </w:r>
    </w:p>
    <w:p w14:paraId="109FF7E0">
      <w:pPr>
        <w:ind w:firstLine="560"/>
        <w:rPr>
          <w:color w:val="auto"/>
        </w:rPr>
      </w:pPr>
      <w:r>
        <w:rPr>
          <w:color w:val="auto"/>
        </w:rPr>
        <w:t>（1</w:t>
      </w:r>
      <w:r>
        <w:rPr>
          <w:rFonts w:hint="eastAsia"/>
          <w:color w:val="auto"/>
        </w:rPr>
        <w:t>1</w:t>
      </w:r>
      <w:r>
        <w:rPr>
          <w:color w:val="auto"/>
        </w:rPr>
        <w:t>）《汕头市人民政府关于印发汕头市</w:t>
      </w:r>
      <w:r>
        <w:rPr>
          <w:rFonts w:hint="eastAsia"/>
          <w:color w:val="auto"/>
        </w:rPr>
        <w:t>“</w:t>
      </w:r>
      <w:r>
        <w:rPr>
          <w:color w:val="auto"/>
        </w:rPr>
        <w:t>三线一单</w:t>
      </w:r>
      <w:r>
        <w:rPr>
          <w:rFonts w:hint="eastAsia"/>
          <w:color w:val="auto"/>
        </w:rPr>
        <w:t>”</w:t>
      </w:r>
      <w:r>
        <w:rPr>
          <w:color w:val="auto"/>
        </w:rPr>
        <w:t>生态环境分区管控方案的通知》（汕府〔2021〕49号）；</w:t>
      </w:r>
    </w:p>
    <w:p w14:paraId="49BE52C8">
      <w:pPr>
        <w:ind w:firstLine="560"/>
        <w:rPr>
          <w:color w:val="auto"/>
        </w:rPr>
      </w:pPr>
      <w:r>
        <w:rPr>
          <w:color w:val="auto"/>
        </w:rPr>
        <w:t>（1</w:t>
      </w:r>
      <w:r>
        <w:rPr>
          <w:rFonts w:hint="eastAsia"/>
          <w:color w:val="auto"/>
        </w:rPr>
        <w:t>2</w:t>
      </w:r>
      <w:r>
        <w:rPr>
          <w:color w:val="auto"/>
        </w:rPr>
        <w:t>）《汕头市生态环境局关于印发汕头市2022年</w:t>
      </w:r>
      <w:r>
        <w:rPr>
          <w:rFonts w:hint="eastAsia"/>
          <w:color w:val="auto"/>
        </w:rPr>
        <w:t>“</w:t>
      </w:r>
      <w:r>
        <w:rPr>
          <w:color w:val="auto"/>
        </w:rPr>
        <w:t>三线一单</w:t>
      </w:r>
      <w:r>
        <w:rPr>
          <w:rFonts w:hint="eastAsia"/>
          <w:color w:val="auto"/>
        </w:rPr>
        <w:t>”</w:t>
      </w:r>
      <w:r>
        <w:rPr>
          <w:color w:val="auto"/>
        </w:rPr>
        <w:t>生态环境分区管控成果更新调整方案的通知》（汕市环函〔2023〕59号）；</w:t>
      </w:r>
    </w:p>
    <w:p w14:paraId="3AB41347">
      <w:pPr>
        <w:ind w:firstLine="560"/>
        <w:rPr>
          <w:color w:val="auto"/>
        </w:rPr>
      </w:pPr>
      <w:r>
        <w:rPr>
          <w:color w:val="auto"/>
        </w:rPr>
        <w:t>（1</w:t>
      </w:r>
      <w:r>
        <w:rPr>
          <w:rFonts w:hint="eastAsia"/>
          <w:color w:val="auto"/>
        </w:rPr>
        <w:t>3</w:t>
      </w:r>
      <w:r>
        <w:rPr>
          <w:color w:val="auto"/>
        </w:rPr>
        <w:t>）《汕头市生态环境局关于印发汕头市2023年</w:t>
      </w:r>
      <w:r>
        <w:rPr>
          <w:rFonts w:hint="eastAsia"/>
          <w:color w:val="auto"/>
        </w:rPr>
        <w:t>“</w:t>
      </w:r>
      <w:r>
        <w:rPr>
          <w:color w:val="auto"/>
        </w:rPr>
        <w:t>三线一单</w:t>
      </w:r>
      <w:r>
        <w:rPr>
          <w:rFonts w:hint="eastAsia"/>
          <w:color w:val="auto"/>
        </w:rPr>
        <w:t>”</w:t>
      </w:r>
      <w:r>
        <w:rPr>
          <w:color w:val="auto"/>
        </w:rPr>
        <w:t>生态环境分区管控成果动态更新方案的通知》（汕市环〔2024〕15号）；</w:t>
      </w:r>
    </w:p>
    <w:p w14:paraId="6566B8BF">
      <w:pPr>
        <w:ind w:firstLine="560"/>
        <w:rPr>
          <w:color w:val="auto"/>
        </w:rPr>
      </w:pPr>
      <w:r>
        <w:rPr>
          <w:color w:val="auto"/>
        </w:rPr>
        <w:t>（1</w:t>
      </w:r>
      <w:r>
        <w:rPr>
          <w:rFonts w:hint="eastAsia"/>
          <w:color w:val="auto"/>
        </w:rPr>
        <w:t>4</w:t>
      </w:r>
      <w:r>
        <w:rPr>
          <w:color w:val="auto"/>
        </w:rPr>
        <w:t>）《汕头市人民政府关于印发汕头市国土空间总体规划（2021-2035年）的通知》（汕府〔2024〕34号）</w:t>
      </w:r>
      <w:r>
        <w:rPr>
          <w:rFonts w:hint="eastAsia"/>
          <w:color w:val="auto"/>
        </w:rPr>
        <w:t>；</w:t>
      </w:r>
    </w:p>
    <w:p w14:paraId="569B1C34">
      <w:pPr>
        <w:ind w:firstLine="560"/>
        <w:rPr>
          <w:color w:val="auto"/>
        </w:rPr>
      </w:pPr>
      <w:r>
        <w:rPr>
          <w:rFonts w:hint="eastAsia"/>
          <w:color w:val="auto"/>
        </w:rPr>
        <w:t>（15）《关于汕头市自然保护地整合优化方案总体情况的公示》；</w:t>
      </w:r>
    </w:p>
    <w:p w14:paraId="0450DF97">
      <w:pPr>
        <w:ind w:firstLine="560"/>
        <w:rPr>
          <w:color w:val="auto"/>
        </w:rPr>
      </w:pPr>
      <w:r>
        <w:rPr>
          <w:rFonts w:hint="eastAsia"/>
          <w:color w:val="auto"/>
        </w:rPr>
        <w:t>（16）《关于汕头市自然保护地进一步整合优化有关情况的公示》；</w:t>
      </w:r>
    </w:p>
    <w:p w14:paraId="175EB621">
      <w:pPr>
        <w:ind w:firstLine="560"/>
        <w:rPr>
          <w:color w:val="auto"/>
        </w:rPr>
      </w:pPr>
      <w:r>
        <w:rPr>
          <w:rFonts w:hint="eastAsia"/>
          <w:color w:val="auto"/>
        </w:rPr>
        <w:t>（17）《汕头市濠江区畜禽养殖禁养区划定方案》（汕濠府办</w:t>
      </w:r>
      <w:r>
        <w:rPr>
          <w:color w:val="auto"/>
        </w:rPr>
        <w:t>〔</w:t>
      </w:r>
      <w:r>
        <w:rPr>
          <w:rFonts w:hint="eastAsia"/>
          <w:color w:val="auto"/>
        </w:rPr>
        <w:t>2020</w:t>
      </w:r>
      <w:r>
        <w:rPr>
          <w:color w:val="auto"/>
        </w:rPr>
        <w:t>〕</w:t>
      </w:r>
      <w:r>
        <w:rPr>
          <w:rFonts w:hint="eastAsia"/>
          <w:color w:val="auto"/>
        </w:rPr>
        <w:t>1号）；</w:t>
      </w:r>
    </w:p>
    <w:p w14:paraId="1C7E8E17">
      <w:pPr>
        <w:ind w:firstLine="560"/>
        <w:rPr>
          <w:color w:val="auto"/>
        </w:rPr>
      </w:pPr>
      <w:r>
        <w:rPr>
          <w:rFonts w:hint="eastAsia"/>
          <w:color w:val="auto"/>
        </w:rPr>
        <w:t>（18）《汕头市礐石风景名胜区总体规划（2016-2035）》。</w:t>
      </w:r>
    </w:p>
    <w:p w14:paraId="2FF1DA07">
      <w:pPr>
        <w:pStyle w:val="4"/>
        <w:ind w:firstLine="602"/>
        <w:rPr>
          <w:color w:val="auto"/>
        </w:rPr>
      </w:pPr>
      <w:bookmarkStart w:id="6" w:name="_Toc51"/>
      <w:r>
        <w:rPr>
          <w:rFonts w:hint="eastAsia"/>
          <w:color w:val="auto"/>
        </w:rPr>
        <w:t>2.2.3 相关技术规范、标准</w:t>
      </w:r>
      <w:bookmarkEnd w:id="6"/>
    </w:p>
    <w:p w14:paraId="11B3B569">
      <w:pPr>
        <w:ind w:firstLine="560"/>
        <w:rPr>
          <w:color w:val="auto"/>
        </w:rPr>
      </w:pPr>
      <w:r>
        <w:rPr>
          <w:rFonts w:hint="eastAsia"/>
          <w:color w:val="auto"/>
        </w:rPr>
        <w:t>（1）《畜禽养殖禁养区划定技术指南》（环办水体〔2016〕99号）；</w:t>
      </w:r>
    </w:p>
    <w:p w14:paraId="10A7E325">
      <w:pPr>
        <w:ind w:firstLine="560"/>
        <w:rPr>
          <w:color w:val="auto"/>
        </w:rPr>
      </w:pPr>
      <w:r>
        <w:rPr>
          <w:rFonts w:hint="eastAsia"/>
          <w:color w:val="auto"/>
        </w:rPr>
        <w:t>（2）《畜禽养殖业污染防治技术规范》（HJT81-2001）；</w:t>
      </w:r>
    </w:p>
    <w:p w14:paraId="35F04232">
      <w:pPr>
        <w:ind w:firstLine="560"/>
        <w:rPr>
          <w:color w:val="auto"/>
        </w:rPr>
      </w:pPr>
      <w:r>
        <w:rPr>
          <w:rFonts w:hint="eastAsia"/>
          <w:color w:val="auto"/>
        </w:rPr>
        <w:t>（3）《畜禽养殖场（户）粪污处理设施建设技术指南》（农办牧〔2022〕19号）；</w:t>
      </w:r>
    </w:p>
    <w:p w14:paraId="5599BDC7">
      <w:pPr>
        <w:ind w:firstLine="560"/>
        <w:rPr>
          <w:rFonts w:eastAsia="仿宋_GB2312"/>
          <w:color w:val="auto"/>
          <w:szCs w:val="28"/>
        </w:rPr>
      </w:pPr>
      <w:r>
        <w:rPr>
          <w:rFonts w:hint="eastAsia" w:eastAsia="仿宋_GB2312"/>
          <w:color w:val="auto"/>
          <w:szCs w:val="28"/>
        </w:rPr>
        <w:t>（4）《广东省畜禽养殖粪污处理与资源化利用技术指南（试行）》（粤农农〔2018〕91号）；</w:t>
      </w:r>
    </w:p>
    <w:p w14:paraId="521A2786">
      <w:pPr>
        <w:ind w:firstLine="560"/>
        <w:rPr>
          <w:rFonts w:eastAsia="仿宋_GB2312"/>
          <w:color w:val="auto"/>
          <w:szCs w:val="28"/>
        </w:rPr>
      </w:pPr>
      <w:r>
        <w:rPr>
          <w:rFonts w:hint="eastAsia" w:eastAsia="仿宋_GB2312"/>
          <w:color w:val="auto"/>
          <w:szCs w:val="28"/>
        </w:rPr>
        <w:t>（5）《排污许可证申请与核发技术规范 畜禽养殖行业》（HJ1029-2019）</w:t>
      </w:r>
    </w:p>
    <w:p w14:paraId="387FCC42">
      <w:pPr>
        <w:ind w:firstLine="560"/>
        <w:rPr>
          <w:rFonts w:eastAsia="仿宋_GB2312"/>
          <w:color w:val="auto"/>
          <w:szCs w:val="28"/>
        </w:rPr>
      </w:pPr>
      <w:r>
        <w:rPr>
          <w:rFonts w:hint="eastAsia" w:eastAsia="仿宋_GB2312"/>
          <w:color w:val="auto"/>
          <w:szCs w:val="28"/>
        </w:rPr>
        <w:t>（6）《畜禽养殖业污染物排放标准》（DB44/613-2024）。</w:t>
      </w:r>
    </w:p>
    <w:p w14:paraId="388A9972">
      <w:pPr>
        <w:pStyle w:val="3"/>
        <w:rPr>
          <w:color w:val="auto"/>
        </w:rPr>
      </w:pPr>
      <w:bookmarkStart w:id="7" w:name="_Toc6989"/>
      <w:r>
        <w:rPr>
          <w:rFonts w:hint="eastAsia"/>
          <w:color w:val="auto"/>
        </w:rPr>
        <w:t>2.3 划定</w:t>
      </w:r>
      <w:r>
        <w:rPr>
          <w:color w:val="auto"/>
        </w:rPr>
        <w:t>原则</w:t>
      </w:r>
      <w:bookmarkEnd w:id="7"/>
    </w:p>
    <w:p w14:paraId="73EB4B59">
      <w:pPr>
        <w:ind w:firstLine="560"/>
        <w:rPr>
          <w:color w:val="auto"/>
        </w:rPr>
      </w:pPr>
      <w:r>
        <w:rPr>
          <w:rFonts w:hint="eastAsia"/>
          <w:color w:val="auto"/>
        </w:rPr>
        <w:t>（1）</w:t>
      </w:r>
      <w:r>
        <w:rPr>
          <w:color w:val="auto"/>
        </w:rPr>
        <w:t>依法依规，科学划定：严格依据国家及地方相关法律法规，以饮用水水源保护区、自然保护区、风景名胜区、城镇居民区和文化教育科学研究区和永久基本农田保护区为重点，结合其他法律法规规定的禁养区域</w:t>
      </w:r>
      <w:r>
        <w:rPr>
          <w:rFonts w:hint="eastAsia"/>
          <w:color w:val="auto"/>
        </w:rPr>
        <w:t>科学</w:t>
      </w:r>
      <w:r>
        <w:rPr>
          <w:color w:val="auto"/>
        </w:rPr>
        <w:t>划定。</w:t>
      </w:r>
    </w:p>
    <w:p w14:paraId="08E3ADE2">
      <w:pPr>
        <w:ind w:firstLine="560"/>
        <w:rPr>
          <w:color w:val="auto"/>
        </w:rPr>
      </w:pPr>
      <w:r>
        <w:rPr>
          <w:rFonts w:hint="eastAsia"/>
          <w:color w:val="auto"/>
        </w:rPr>
        <w:t>（2）</w:t>
      </w:r>
      <w:r>
        <w:rPr>
          <w:color w:val="auto"/>
        </w:rPr>
        <w:t>生态优先，绿色发展：坚持生态环境保护与畜牧业协调发展，推动养殖废弃物资源化利用，减少环境污染。</w:t>
      </w:r>
    </w:p>
    <w:p w14:paraId="704E1311">
      <w:pPr>
        <w:ind w:firstLine="560"/>
        <w:rPr>
          <w:color w:val="auto"/>
        </w:rPr>
      </w:pPr>
      <w:r>
        <w:rPr>
          <w:rFonts w:hint="eastAsia"/>
          <w:color w:val="auto"/>
        </w:rPr>
        <w:t>（3）</w:t>
      </w:r>
      <w:r>
        <w:rPr>
          <w:color w:val="auto"/>
        </w:rPr>
        <w:t>动态优化，公开透明：建立禁养区动态评估机制，定期开展实施效果评估，及时优化调整，并向社会公开。</w:t>
      </w:r>
    </w:p>
    <w:p w14:paraId="1F92130C">
      <w:pPr>
        <w:pStyle w:val="3"/>
        <w:rPr>
          <w:color w:val="auto"/>
        </w:rPr>
      </w:pPr>
      <w:bookmarkStart w:id="8" w:name="_Toc3010"/>
      <w:r>
        <w:rPr>
          <w:rFonts w:hint="eastAsia"/>
          <w:color w:val="auto"/>
        </w:rPr>
        <w:t>2.4 区划目标</w:t>
      </w:r>
      <w:bookmarkEnd w:id="8"/>
    </w:p>
    <w:p w14:paraId="4F0EF1F8">
      <w:pPr>
        <w:ind w:firstLine="560"/>
        <w:rPr>
          <w:color w:val="auto"/>
        </w:rPr>
      </w:pPr>
      <w:r>
        <w:rPr>
          <w:color w:val="auto"/>
        </w:rPr>
        <w:t>以实现</w:t>
      </w:r>
      <w:r>
        <w:rPr>
          <w:rFonts w:hint="eastAsia"/>
          <w:color w:val="auto"/>
        </w:rPr>
        <w:t>濠江区</w:t>
      </w:r>
      <w:r>
        <w:rPr>
          <w:color w:val="auto"/>
        </w:rPr>
        <w:t>畜禽养殖业可持续发展与生态环境改善双赢为导向，以改善环境质量、保障环境安全、促进畜禽养殖业持续健康有序发展为目标，坚守环境质量底线与资源利用上线，全面调整优化</w:t>
      </w:r>
      <w:r>
        <w:rPr>
          <w:rFonts w:hint="eastAsia"/>
          <w:color w:val="auto"/>
        </w:rPr>
        <w:t>濠江</w:t>
      </w:r>
      <w:r>
        <w:rPr>
          <w:color w:val="auto"/>
        </w:rPr>
        <w:t>区的畜禽养殖业生产布局，通过实行养殖总量与密度双控，强化科技支撑，推动养殖观念转型升级，构建规模化、标准化、现代化的生态养殖体系</w:t>
      </w:r>
      <w:r>
        <w:rPr>
          <w:rFonts w:hint="eastAsia"/>
          <w:color w:val="auto"/>
        </w:rPr>
        <w:t>，</w:t>
      </w:r>
      <w:r>
        <w:rPr>
          <w:color w:val="auto"/>
        </w:rPr>
        <w:t>实现畜禽养殖废弃物的减量化、无害化、资源化与生态化，促进畜牧业生产与生态环境全面协调发展，为推进</w:t>
      </w:r>
      <w:r>
        <w:rPr>
          <w:rFonts w:hint="eastAsia"/>
          <w:color w:val="auto"/>
        </w:rPr>
        <w:t>濠江</w:t>
      </w:r>
      <w:r>
        <w:rPr>
          <w:color w:val="auto"/>
        </w:rPr>
        <w:t>区生态文明建设奠定基础。</w:t>
      </w:r>
    </w:p>
    <w:p w14:paraId="4A0F3944">
      <w:pPr>
        <w:pStyle w:val="2"/>
        <w:spacing w:before="120" w:after="120"/>
        <w:rPr>
          <w:color w:val="auto"/>
        </w:rPr>
      </w:pPr>
      <w:bookmarkStart w:id="9" w:name="_Toc22025"/>
      <w:r>
        <w:rPr>
          <w:rFonts w:hint="eastAsia"/>
          <w:color w:val="auto"/>
        </w:rPr>
        <w:t>3.相关术语</w:t>
      </w:r>
      <w:bookmarkEnd w:id="9"/>
    </w:p>
    <w:p w14:paraId="5E0596A9">
      <w:pPr>
        <w:pStyle w:val="3"/>
        <w:rPr>
          <w:color w:val="auto"/>
        </w:rPr>
      </w:pPr>
      <w:bookmarkStart w:id="10" w:name="_Toc16754"/>
      <w:r>
        <w:rPr>
          <w:rFonts w:hint="eastAsia"/>
          <w:color w:val="auto"/>
        </w:rPr>
        <w:t>3.1 畜禽</w:t>
      </w:r>
      <w:bookmarkEnd w:id="10"/>
    </w:p>
    <w:p w14:paraId="23F72D2C">
      <w:pPr>
        <w:ind w:firstLine="560"/>
        <w:rPr>
          <w:color w:val="auto"/>
        </w:rPr>
      </w:pPr>
      <w:r>
        <w:rPr>
          <w:color w:val="auto"/>
        </w:rPr>
        <w:t>主要包括禁养畜禽为猪（生猪），肉鸡，蛋鸡，奶牛，肉牛，肉羊（山羊、绵羊），肉鸭，肉鹅，鸽（肉鸽）等9种畜禽</w:t>
      </w:r>
      <w:r>
        <w:rPr>
          <w:rFonts w:hint="eastAsia"/>
          <w:color w:val="auto"/>
        </w:rPr>
        <w:t>。</w:t>
      </w:r>
      <w:r>
        <w:rPr>
          <w:color w:val="auto"/>
        </w:rPr>
        <w:t>参照《畜禽养殖业污染物排放标准》（DB44/613-2024）和《排污许可证申请与核发技术规范畜禽养殖行业》（HJ1029-2019）中提供的换算比例进行确定。换算比例为：30只蛋鸡、60只肉鸡、30只肉鸭、15只肉鹅、180只肉鸽、3只肉羊折算成1头猪，1头奶牛折算成10头猪，1头肉牛折算成5头猪。其他畜禽参照成年体重、饲养方式和成长时间，折算成相应的牛、猪、羊或鸡、鹅，然后再折算成猪进行计算</w:t>
      </w:r>
      <w:r>
        <w:rPr>
          <w:rFonts w:hint="eastAsia"/>
          <w:color w:val="auto"/>
        </w:rPr>
        <w:t>。</w:t>
      </w:r>
    </w:p>
    <w:p w14:paraId="42BA510C">
      <w:pPr>
        <w:pStyle w:val="3"/>
        <w:rPr>
          <w:color w:val="auto"/>
        </w:rPr>
      </w:pPr>
      <w:bookmarkStart w:id="11" w:name="_Toc2281"/>
      <w:r>
        <w:rPr>
          <w:rFonts w:hint="eastAsia"/>
          <w:color w:val="auto"/>
        </w:rPr>
        <w:t>3.2畜禽养殖场</w:t>
      </w:r>
      <w:bookmarkEnd w:id="11"/>
    </w:p>
    <w:p w14:paraId="530861F8">
      <w:pPr>
        <w:ind w:firstLine="560"/>
        <w:rPr>
          <w:color w:val="auto"/>
        </w:rPr>
      </w:pPr>
      <w:r>
        <w:rPr>
          <w:color w:val="auto"/>
        </w:rPr>
        <w:t>畜禽养殖场是指饲养某一特定畜禽、具备一定条件的规模养殖场；畜禽养殖小区是指集中建造畜禽栏舍饲养某一特定畜禽、具备一定条件、由多户农民分户饲养、实行统一管理的畜禽饲养园区。</w:t>
      </w:r>
    </w:p>
    <w:p w14:paraId="1FF3C889">
      <w:pPr>
        <w:ind w:firstLine="560"/>
        <w:rPr>
          <w:color w:val="auto"/>
        </w:rPr>
      </w:pPr>
      <w:r>
        <w:rPr>
          <w:color w:val="auto"/>
        </w:rPr>
        <w:t>畜禽养殖场和养殖小区规模如下：</w:t>
      </w:r>
    </w:p>
    <w:p w14:paraId="4C7FD69C">
      <w:pPr>
        <w:ind w:firstLine="560"/>
        <w:rPr>
          <w:color w:val="auto"/>
        </w:rPr>
      </w:pPr>
      <w:r>
        <w:rPr>
          <w:color w:val="auto"/>
        </w:rPr>
        <w:t>1.生猪年出栏500头或存栏300头以上；</w:t>
      </w:r>
    </w:p>
    <w:p w14:paraId="6368163D">
      <w:pPr>
        <w:ind w:firstLine="560"/>
        <w:rPr>
          <w:color w:val="auto"/>
        </w:rPr>
      </w:pPr>
      <w:r>
        <w:rPr>
          <w:color w:val="auto"/>
        </w:rPr>
        <w:t>2.肉鸡年出栏10000只或存栏5000只以上；</w:t>
      </w:r>
    </w:p>
    <w:p w14:paraId="405EA9E1">
      <w:pPr>
        <w:ind w:firstLine="560"/>
        <w:rPr>
          <w:color w:val="auto"/>
        </w:rPr>
      </w:pPr>
      <w:r>
        <w:rPr>
          <w:color w:val="auto"/>
        </w:rPr>
        <w:t>3.蛋鸡存栏2000只以上；</w:t>
      </w:r>
    </w:p>
    <w:p w14:paraId="636A8D31">
      <w:pPr>
        <w:ind w:firstLine="560"/>
        <w:rPr>
          <w:color w:val="auto"/>
        </w:rPr>
      </w:pPr>
      <w:r>
        <w:rPr>
          <w:color w:val="auto"/>
        </w:rPr>
        <w:t>4.奶牛存栏100头以上；</w:t>
      </w:r>
    </w:p>
    <w:p w14:paraId="196748DC">
      <w:pPr>
        <w:ind w:firstLine="560"/>
        <w:rPr>
          <w:color w:val="auto"/>
        </w:rPr>
      </w:pPr>
      <w:r>
        <w:rPr>
          <w:color w:val="auto"/>
        </w:rPr>
        <w:t>5.肉牛年出栏50头或存栏100头以上；</w:t>
      </w:r>
    </w:p>
    <w:p w14:paraId="70E26D5C">
      <w:pPr>
        <w:ind w:firstLine="560"/>
        <w:rPr>
          <w:color w:val="auto"/>
        </w:rPr>
      </w:pPr>
      <w:r>
        <w:rPr>
          <w:color w:val="auto"/>
        </w:rPr>
        <w:t>6.肉羊年出栏100只或存栏100只以上；</w:t>
      </w:r>
    </w:p>
    <w:p w14:paraId="2868FA8B">
      <w:pPr>
        <w:ind w:firstLine="560"/>
        <w:rPr>
          <w:color w:val="auto"/>
        </w:rPr>
      </w:pPr>
      <w:r>
        <w:rPr>
          <w:color w:val="auto"/>
        </w:rPr>
        <w:t>7.肉鸭年出栏10000只或存栏5000只以上；</w:t>
      </w:r>
    </w:p>
    <w:p w14:paraId="52666EAA">
      <w:pPr>
        <w:ind w:firstLine="560"/>
        <w:rPr>
          <w:color w:val="auto"/>
        </w:rPr>
      </w:pPr>
      <w:r>
        <w:rPr>
          <w:color w:val="auto"/>
        </w:rPr>
        <w:t>8.肉鹅年出栏5000只或存栏2500只以上；</w:t>
      </w:r>
    </w:p>
    <w:p w14:paraId="0962C254">
      <w:pPr>
        <w:ind w:firstLine="560"/>
        <w:rPr>
          <w:color w:val="auto"/>
        </w:rPr>
      </w:pPr>
      <w:r>
        <w:rPr>
          <w:color w:val="auto"/>
        </w:rPr>
        <w:t>9.肉鸽年出栏50000只或存栏10000只以上；</w:t>
      </w:r>
    </w:p>
    <w:p w14:paraId="0362B056">
      <w:pPr>
        <w:ind w:firstLine="560"/>
        <w:rPr>
          <w:color w:val="auto"/>
        </w:rPr>
      </w:pPr>
      <w:r>
        <w:rPr>
          <w:color w:val="auto"/>
        </w:rPr>
        <w:t>10.肉兔年出栏2000只或存栏1000只以上；</w:t>
      </w:r>
    </w:p>
    <w:p w14:paraId="4AC7DFC9">
      <w:pPr>
        <w:ind w:firstLine="560"/>
        <w:rPr>
          <w:color w:val="auto"/>
        </w:rPr>
      </w:pPr>
      <w:r>
        <w:rPr>
          <w:color w:val="auto"/>
        </w:rPr>
        <w:t>11.蜜蜂养殖200群以上；</w:t>
      </w:r>
    </w:p>
    <w:p w14:paraId="7F924BDB">
      <w:pPr>
        <w:ind w:firstLine="560"/>
        <w:rPr>
          <w:color w:val="auto"/>
        </w:rPr>
      </w:pPr>
      <w:r>
        <w:rPr>
          <w:color w:val="auto"/>
        </w:rPr>
        <w:t>12.其他畜禽的规模标准按照有关规定执行。</w:t>
      </w:r>
    </w:p>
    <w:p w14:paraId="3867427A">
      <w:pPr>
        <w:pStyle w:val="3"/>
        <w:rPr>
          <w:color w:val="auto"/>
        </w:rPr>
      </w:pPr>
      <w:bookmarkStart w:id="12" w:name="_Toc7199"/>
      <w:r>
        <w:rPr>
          <w:rFonts w:hint="eastAsia"/>
          <w:color w:val="auto"/>
        </w:rPr>
        <w:t>3.3 畜禽养殖专业户</w:t>
      </w:r>
      <w:bookmarkEnd w:id="12"/>
    </w:p>
    <w:p w14:paraId="0CE3CE85">
      <w:pPr>
        <w:ind w:firstLine="560"/>
        <w:rPr>
          <w:color w:val="auto"/>
        </w:rPr>
      </w:pPr>
      <w:r>
        <w:rPr>
          <w:color w:val="auto"/>
        </w:rPr>
        <w:t>畜禽养殖专业户是指饲养某一特定畜禽、达到一定规模的养殖户。畜禽养殖专业户规模如下：</w:t>
      </w:r>
    </w:p>
    <w:p w14:paraId="6AE4B095">
      <w:pPr>
        <w:ind w:firstLine="560"/>
        <w:rPr>
          <w:color w:val="auto"/>
        </w:rPr>
      </w:pPr>
      <w:r>
        <w:rPr>
          <w:color w:val="auto"/>
        </w:rPr>
        <w:t>1.生猪年出栏50至499头或存栏30至299头；</w:t>
      </w:r>
    </w:p>
    <w:p w14:paraId="43728B8D">
      <w:pPr>
        <w:ind w:firstLine="560"/>
        <w:rPr>
          <w:color w:val="auto"/>
        </w:rPr>
      </w:pPr>
      <w:r>
        <w:rPr>
          <w:color w:val="auto"/>
        </w:rPr>
        <w:t>2.肉鸡年出栏2000至9999只或存栏1000至4999只；</w:t>
      </w:r>
    </w:p>
    <w:p w14:paraId="2E4B16E7">
      <w:pPr>
        <w:ind w:firstLine="560"/>
        <w:rPr>
          <w:color w:val="auto"/>
        </w:rPr>
      </w:pPr>
      <w:r>
        <w:rPr>
          <w:color w:val="auto"/>
        </w:rPr>
        <w:t>3.蛋鸡存栏500至1999只；</w:t>
      </w:r>
    </w:p>
    <w:p w14:paraId="0A856B37">
      <w:pPr>
        <w:ind w:firstLine="560"/>
        <w:rPr>
          <w:color w:val="auto"/>
        </w:rPr>
      </w:pPr>
      <w:r>
        <w:rPr>
          <w:color w:val="auto"/>
        </w:rPr>
        <w:t>4.奶牛存栏5至99头；</w:t>
      </w:r>
    </w:p>
    <w:p w14:paraId="17B20BCC">
      <w:pPr>
        <w:ind w:firstLine="560"/>
        <w:rPr>
          <w:color w:val="auto"/>
        </w:rPr>
      </w:pPr>
      <w:r>
        <w:rPr>
          <w:color w:val="auto"/>
        </w:rPr>
        <w:t>5.肉牛年出栏10至49头或存栏20至99头；</w:t>
      </w:r>
    </w:p>
    <w:p w14:paraId="702ED56D">
      <w:pPr>
        <w:ind w:firstLine="560"/>
        <w:rPr>
          <w:color w:val="auto"/>
        </w:rPr>
      </w:pPr>
      <w:r>
        <w:rPr>
          <w:color w:val="auto"/>
        </w:rPr>
        <w:t>6.肉羊年出栏30至99只或存栏30至99只；</w:t>
      </w:r>
    </w:p>
    <w:p w14:paraId="3F656476">
      <w:pPr>
        <w:ind w:firstLine="560"/>
        <w:rPr>
          <w:color w:val="auto"/>
        </w:rPr>
      </w:pPr>
      <w:r>
        <w:rPr>
          <w:color w:val="auto"/>
        </w:rPr>
        <w:t>7.肉鸭年出栏2000至9999只或存栏1000至4999只；</w:t>
      </w:r>
    </w:p>
    <w:p w14:paraId="145A3EDE">
      <w:pPr>
        <w:ind w:firstLine="560"/>
        <w:rPr>
          <w:color w:val="auto"/>
        </w:rPr>
      </w:pPr>
      <w:r>
        <w:rPr>
          <w:color w:val="auto"/>
        </w:rPr>
        <w:t>8.肉鹅年出栏1000至4999只或存栏500至2499只；</w:t>
      </w:r>
    </w:p>
    <w:p w14:paraId="152A4AE8">
      <w:pPr>
        <w:ind w:firstLine="560"/>
        <w:rPr>
          <w:color w:val="auto"/>
        </w:rPr>
      </w:pPr>
      <w:r>
        <w:rPr>
          <w:color w:val="auto"/>
        </w:rPr>
        <w:t>9.肉鸽年出栏10000至49999只或存栏2000至9999只；</w:t>
      </w:r>
    </w:p>
    <w:p w14:paraId="6BD74DE2">
      <w:pPr>
        <w:ind w:firstLine="560"/>
        <w:rPr>
          <w:color w:val="auto"/>
        </w:rPr>
      </w:pPr>
      <w:r>
        <w:rPr>
          <w:color w:val="auto"/>
        </w:rPr>
        <w:t>10.肉兔年出栏500至1999只或存栏250至999只；</w:t>
      </w:r>
    </w:p>
    <w:p w14:paraId="6225FA15">
      <w:pPr>
        <w:ind w:firstLine="560"/>
        <w:rPr>
          <w:color w:val="auto"/>
        </w:rPr>
      </w:pPr>
      <w:r>
        <w:rPr>
          <w:color w:val="auto"/>
        </w:rPr>
        <w:t>11.蜜蜂养殖100至199群；</w:t>
      </w:r>
    </w:p>
    <w:p w14:paraId="21949075">
      <w:pPr>
        <w:ind w:firstLine="560"/>
        <w:rPr>
          <w:color w:val="auto"/>
        </w:rPr>
      </w:pPr>
      <w:r>
        <w:rPr>
          <w:color w:val="auto"/>
        </w:rPr>
        <w:t>12.其他畜禽的规模标准按照有关规定执行。</w:t>
      </w:r>
    </w:p>
    <w:p w14:paraId="5D11751E">
      <w:pPr>
        <w:pStyle w:val="3"/>
        <w:rPr>
          <w:color w:val="auto"/>
        </w:rPr>
      </w:pPr>
      <w:bookmarkStart w:id="13" w:name="_Toc20894"/>
      <w:r>
        <w:rPr>
          <w:rFonts w:hint="eastAsia"/>
          <w:color w:val="auto"/>
        </w:rPr>
        <w:t>3.4 禁养区</w:t>
      </w:r>
      <w:bookmarkEnd w:id="13"/>
    </w:p>
    <w:p w14:paraId="14F7589C">
      <w:pPr>
        <w:ind w:firstLine="560"/>
        <w:rPr>
          <w:color w:val="auto"/>
        </w:rPr>
      </w:pPr>
      <w:r>
        <w:rPr>
          <w:color w:val="auto"/>
        </w:rPr>
        <w:t>根据《关于印发&lt;畜禽养殖禁养区划定技术指南&gt;的通知》（环办水体〔2016〕99号），禁养区是指县级以上地方人民政府依法划定的禁止建设养殖场或禁止建设有污染物排放的养殖场的区域。</w:t>
      </w:r>
    </w:p>
    <w:p w14:paraId="55BA11D1">
      <w:pPr>
        <w:ind w:firstLine="560"/>
        <w:rPr>
          <w:color w:val="auto"/>
        </w:rPr>
      </w:pPr>
      <w:r>
        <w:rPr>
          <w:color w:val="auto"/>
        </w:rPr>
        <w:t>本区划禁养对象包括畜禽养殖场、养殖小区和养殖专业户，统称为</w:t>
      </w:r>
      <w:r>
        <w:rPr>
          <w:rFonts w:hint="eastAsia"/>
          <w:color w:val="auto"/>
        </w:rPr>
        <w:t>“</w:t>
      </w:r>
      <w:r>
        <w:rPr>
          <w:color w:val="auto"/>
        </w:rPr>
        <w:t>养殖场</w:t>
      </w:r>
      <w:r>
        <w:rPr>
          <w:rFonts w:hint="eastAsia"/>
          <w:color w:val="auto"/>
        </w:rPr>
        <w:t>”。</w:t>
      </w:r>
    </w:p>
    <w:p w14:paraId="342117A4">
      <w:pPr>
        <w:pStyle w:val="3"/>
        <w:rPr>
          <w:color w:val="auto"/>
        </w:rPr>
      </w:pPr>
      <w:bookmarkStart w:id="14" w:name="_Toc8172"/>
      <w:r>
        <w:rPr>
          <w:rFonts w:hint="eastAsia"/>
          <w:color w:val="auto"/>
        </w:rPr>
        <w:t>3.5 无污染物排放养殖区</w:t>
      </w:r>
      <w:bookmarkEnd w:id="14"/>
    </w:p>
    <w:p w14:paraId="4BB84CDF">
      <w:pPr>
        <w:ind w:firstLine="560"/>
        <w:rPr>
          <w:color w:val="auto"/>
        </w:rPr>
      </w:pPr>
      <w:r>
        <w:rPr>
          <w:color w:val="auto"/>
        </w:rPr>
        <w:t>根据《关于印发&lt;畜禽养殖禁养区划定技术指南&gt;的通知》（环办水体〔2016〕99号），无污染物排放养殖场是指产生的畜禽粪便、养殖废水、沼渣、沼液等经过无害化处理用作肥料还田，符合法律法规要求以及国家和地方相关标准不造成环境污染的养殖场</w:t>
      </w:r>
      <w:r>
        <w:rPr>
          <w:rFonts w:hint="eastAsia"/>
          <w:color w:val="auto"/>
        </w:rPr>
        <w:t>。</w:t>
      </w:r>
    </w:p>
    <w:p w14:paraId="0AE59560">
      <w:pPr>
        <w:pStyle w:val="3"/>
        <w:rPr>
          <w:color w:val="auto"/>
        </w:rPr>
      </w:pPr>
      <w:bookmarkStart w:id="15" w:name="_Toc29712"/>
      <w:r>
        <w:rPr>
          <w:rFonts w:hint="eastAsia"/>
          <w:color w:val="auto"/>
        </w:rPr>
        <w:t>3.6 无害化处理</w:t>
      </w:r>
      <w:bookmarkEnd w:id="15"/>
    </w:p>
    <w:p w14:paraId="708894CD">
      <w:pPr>
        <w:ind w:firstLine="560"/>
        <w:rPr>
          <w:color w:val="auto"/>
        </w:rPr>
      </w:pPr>
      <w:r>
        <w:rPr>
          <w:rFonts w:hint="eastAsia"/>
          <w:color w:val="auto"/>
        </w:rPr>
        <w:t>根据《关于印发&lt;广东省畜禽养殖粪污处理与资源化利用技术指南（试行）&gt;的通知》（粤农农〔2018〕91号），无害化处理是指利用高温、好氧或厌氧等工艺杀灭畜禽粪便中病原菌、寄生虫和杂草种子的过程。</w:t>
      </w:r>
    </w:p>
    <w:p w14:paraId="08A2F4C8">
      <w:pPr>
        <w:pStyle w:val="3"/>
        <w:rPr>
          <w:color w:val="auto"/>
        </w:rPr>
      </w:pPr>
      <w:bookmarkStart w:id="16" w:name="_Toc22576"/>
      <w:r>
        <w:rPr>
          <w:rFonts w:hint="eastAsia"/>
          <w:color w:val="auto"/>
        </w:rPr>
        <w:t>3.7 畜禽粪污资源化利用</w:t>
      </w:r>
      <w:bookmarkEnd w:id="16"/>
    </w:p>
    <w:p w14:paraId="2CAB5A0F">
      <w:pPr>
        <w:ind w:firstLine="560"/>
        <w:rPr>
          <w:color w:val="auto"/>
        </w:rPr>
      </w:pPr>
      <w:r>
        <w:rPr>
          <w:color w:val="auto"/>
        </w:rPr>
        <w:t>根据《关于印发&lt;广东省畜禽养殖粪污处理与资源化利用技术指南（试行）&gt;的通知》（粤农农〔2018〕91号），畜禽粪污资源化利用是指在畜禽粪污处理过程中，通过生产沼气、堆肥、沤肥、沼肥、肥水、商品有机肥、垫料、基质、微生物消纳等方式进行合理利用</w:t>
      </w:r>
      <w:r>
        <w:rPr>
          <w:rFonts w:hint="eastAsia"/>
          <w:color w:val="auto"/>
        </w:rPr>
        <w:t>。</w:t>
      </w:r>
    </w:p>
    <w:p w14:paraId="709B9E18">
      <w:pPr>
        <w:pStyle w:val="3"/>
        <w:rPr>
          <w:color w:val="auto"/>
        </w:rPr>
      </w:pPr>
      <w:bookmarkStart w:id="17" w:name="_Toc28953"/>
      <w:r>
        <w:rPr>
          <w:rFonts w:hint="eastAsia"/>
          <w:color w:val="auto"/>
        </w:rPr>
        <w:t>3.8 “</w:t>
      </w:r>
      <w:r>
        <w:rPr>
          <w:color w:val="auto"/>
        </w:rPr>
        <w:t>三区三线</w:t>
      </w:r>
      <w:r>
        <w:rPr>
          <w:rFonts w:hint="eastAsia"/>
          <w:color w:val="auto"/>
        </w:rPr>
        <w:t>”</w:t>
      </w:r>
      <w:bookmarkEnd w:id="17"/>
    </w:p>
    <w:p w14:paraId="19572296">
      <w:pPr>
        <w:ind w:firstLine="560"/>
        <w:rPr>
          <w:color w:val="auto"/>
        </w:rPr>
      </w:pPr>
      <w:r>
        <w:rPr>
          <w:rFonts w:hint="eastAsia"/>
          <w:color w:val="auto"/>
        </w:rPr>
        <w:t>“</w:t>
      </w:r>
      <w:r>
        <w:rPr>
          <w:color w:val="auto"/>
        </w:rPr>
        <w:t>三区</w:t>
      </w:r>
      <w:r>
        <w:rPr>
          <w:rFonts w:hint="eastAsia"/>
          <w:color w:val="auto"/>
        </w:rPr>
        <w:t>”</w:t>
      </w:r>
      <w:r>
        <w:rPr>
          <w:color w:val="auto"/>
        </w:rPr>
        <w:t>是指的是生态空间、农业空间、城镇空间，</w:t>
      </w:r>
      <w:r>
        <w:rPr>
          <w:rFonts w:hint="eastAsia"/>
          <w:color w:val="auto"/>
        </w:rPr>
        <w:t>“</w:t>
      </w:r>
      <w:r>
        <w:rPr>
          <w:color w:val="auto"/>
        </w:rPr>
        <w:t>三线</w:t>
      </w:r>
      <w:r>
        <w:rPr>
          <w:rFonts w:hint="eastAsia"/>
          <w:color w:val="auto"/>
        </w:rPr>
        <w:t>”</w:t>
      </w:r>
      <w:r>
        <w:rPr>
          <w:color w:val="auto"/>
        </w:rPr>
        <w:t>是指的是永久基本农田控制线、生态保护红线、城镇开发边界，</w:t>
      </w:r>
      <w:r>
        <w:rPr>
          <w:rFonts w:hint="eastAsia"/>
          <w:color w:val="auto"/>
        </w:rPr>
        <w:t>“</w:t>
      </w:r>
      <w:r>
        <w:rPr>
          <w:color w:val="auto"/>
        </w:rPr>
        <w:t>三区三线</w:t>
      </w:r>
      <w:r>
        <w:rPr>
          <w:rFonts w:hint="eastAsia"/>
          <w:color w:val="auto"/>
        </w:rPr>
        <w:t>”</w:t>
      </w:r>
      <w:r>
        <w:rPr>
          <w:color w:val="auto"/>
        </w:rPr>
        <w:t>是调整经济结构、规划产业发展、推进城镇化不可逾越的红线。</w:t>
      </w:r>
    </w:p>
    <w:p w14:paraId="53DBA534">
      <w:pPr>
        <w:pStyle w:val="4"/>
        <w:ind w:firstLine="602"/>
        <w:rPr>
          <w:color w:val="auto"/>
        </w:rPr>
      </w:pPr>
      <w:bookmarkStart w:id="18" w:name="_Toc25009"/>
      <w:r>
        <w:rPr>
          <w:rFonts w:hint="eastAsia"/>
          <w:color w:val="auto"/>
        </w:rPr>
        <w:t>3.8.1 “三区”</w:t>
      </w:r>
      <w:bookmarkEnd w:id="18"/>
    </w:p>
    <w:p w14:paraId="43C41AE3">
      <w:pPr>
        <w:ind w:firstLine="560"/>
        <w:rPr>
          <w:color w:val="auto"/>
        </w:rPr>
      </w:pPr>
      <w:r>
        <w:rPr>
          <w:color w:val="auto"/>
        </w:rPr>
        <w:t>生态空间：指具有自然属性、以提供生态服务或生态产品为主的功能空间，包括森林、草原、湿地、河流、湖泊、滩涂、岸线、海洋、荒地、荒漠、戈壁、冰川、高山冻原、无居民海岛等。</w:t>
      </w:r>
    </w:p>
    <w:p w14:paraId="6B7774C2">
      <w:pPr>
        <w:ind w:firstLine="560"/>
        <w:rPr>
          <w:color w:val="auto"/>
        </w:rPr>
      </w:pPr>
      <w:r>
        <w:rPr>
          <w:color w:val="auto"/>
        </w:rPr>
        <w:t>农业空间：以农业生产、农村生活为主体的功能空间。</w:t>
      </w:r>
    </w:p>
    <w:p w14:paraId="2846C241">
      <w:pPr>
        <w:ind w:firstLine="560"/>
        <w:rPr>
          <w:color w:val="auto"/>
        </w:rPr>
      </w:pPr>
      <w:r>
        <w:rPr>
          <w:color w:val="auto"/>
        </w:rPr>
        <w:t>城镇空间：以承载城镇经济、社会、政治、文化、生态等要素为主的功能空间。</w:t>
      </w:r>
    </w:p>
    <w:p w14:paraId="4AC3C0E0">
      <w:pPr>
        <w:pStyle w:val="4"/>
        <w:ind w:firstLine="602"/>
        <w:rPr>
          <w:color w:val="auto"/>
        </w:rPr>
      </w:pPr>
      <w:bookmarkStart w:id="19" w:name="_Toc31835"/>
      <w:r>
        <w:rPr>
          <w:rFonts w:hint="eastAsia"/>
          <w:color w:val="auto"/>
        </w:rPr>
        <w:t>3.8.2 “三线”</w:t>
      </w:r>
      <w:bookmarkEnd w:id="19"/>
    </w:p>
    <w:p w14:paraId="1A08DDFF">
      <w:pPr>
        <w:ind w:firstLine="560"/>
        <w:rPr>
          <w:color w:val="auto"/>
        </w:rPr>
      </w:pPr>
      <w:r>
        <w:rPr>
          <w:color w:val="auto"/>
        </w:rPr>
        <w:t>永久基本农田控制线：是按照一定时期人口和经济社会发展对农产品需求，依据国土空间规划确定的不得擅自占用或改变用途的耕地。</w:t>
      </w:r>
    </w:p>
    <w:p w14:paraId="37226D51">
      <w:pPr>
        <w:ind w:firstLine="560"/>
        <w:rPr>
          <w:color w:val="auto"/>
        </w:rPr>
      </w:pPr>
      <w:r>
        <w:rPr>
          <w:color w:val="auto"/>
        </w:rPr>
        <w:t>生态保护红线：是在生态空间范围内具有特殊重要生态功能、必须强制性严格保护的陆域、水域、海域等区域，是保障和维护国家生态安全的底线和生命线。</w:t>
      </w:r>
    </w:p>
    <w:p w14:paraId="0FB4A9DC">
      <w:pPr>
        <w:ind w:firstLine="560"/>
        <w:rPr>
          <w:color w:val="auto"/>
        </w:rPr>
      </w:pPr>
      <w:r>
        <w:rPr>
          <w:color w:val="auto"/>
        </w:rPr>
        <w:t>城镇开发边界：在一定时期内因城镇发展需要，可以集中进行城镇开发建设，重点完善城镇功能的区域边界，设计城市、建制镇以及各类开发区等。</w:t>
      </w:r>
    </w:p>
    <w:p w14:paraId="18C0C2D6">
      <w:pPr>
        <w:pStyle w:val="2"/>
        <w:spacing w:before="120" w:after="120"/>
        <w:rPr>
          <w:color w:val="auto"/>
        </w:rPr>
      </w:pPr>
      <w:bookmarkStart w:id="20" w:name="_Toc19384"/>
      <w:r>
        <w:rPr>
          <w:rFonts w:hint="eastAsia"/>
          <w:color w:val="auto"/>
        </w:rPr>
        <w:t>4.</w:t>
      </w:r>
      <w:r>
        <w:rPr>
          <w:color w:val="auto"/>
        </w:rPr>
        <w:t>实施</w:t>
      </w:r>
      <w:r>
        <w:rPr>
          <w:rFonts w:hint="eastAsia"/>
          <w:color w:val="auto"/>
        </w:rPr>
        <w:t>范围及年限</w:t>
      </w:r>
      <w:bookmarkEnd w:id="20"/>
    </w:p>
    <w:p w14:paraId="52FC71EC">
      <w:pPr>
        <w:pStyle w:val="3"/>
        <w:rPr>
          <w:color w:val="auto"/>
        </w:rPr>
      </w:pPr>
      <w:bookmarkStart w:id="21" w:name="_Toc4479"/>
      <w:r>
        <w:rPr>
          <w:rFonts w:hint="eastAsia"/>
          <w:color w:val="auto"/>
        </w:rPr>
        <w:t>4.1 实施范围</w:t>
      </w:r>
      <w:bookmarkEnd w:id="21"/>
    </w:p>
    <w:p w14:paraId="2D4B2C77">
      <w:pPr>
        <w:ind w:firstLine="560"/>
        <w:rPr>
          <w:color w:val="auto"/>
        </w:rPr>
      </w:pPr>
      <w:r>
        <w:rPr>
          <w:color w:val="auto"/>
        </w:rPr>
        <w:t>实施范围为</w:t>
      </w:r>
      <w:r>
        <w:rPr>
          <w:rFonts w:hint="eastAsia"/>
          <w:color w:val="auto"/>
        </w:rPr>
        <w:t>濠江</w:t>
      </w:r>
      <w:r>
        <w:rPr>
          <w:color w:val="auto"/>
        </w:rPr>
        <w:t>区辖区范围，包括</w:t>
      </w:r>
      <w:r>
        <w:rPr>
          <w:rFonts w:hint="eastAsia"/>
          <w:color w:val="auto"/>
        </w:rPr>
        <w:t>达濠街道、礐石街道、广澳街道、马滘街道、河浦街道、玉新街道、滨海街道共7</w:t>
      </w:r>
      <w:r>
        <w:rPr>
          <w:color w:val="auto"/>
        </w:rPr>
        <w:t>个街道。</w:t>
      </w:r>
      <w:r>
        <w:rPr>
          <w:rFonts w:hint="eastAsia"/>
          <w:color w:val="auto"/>
        </w:rPr>
        <w:t>（见</w:t>
      </w:r>
      <w:r>
        <w:rPr>
          <w:rFonts w:hint="eastAsia"/>
          <w:color w:val="auto"/>
        </w:rPr>
        <w:fldChar w:fldCharType="begin"/>
      </w:r>
      <w:r>
        <w:rPr>
          <w:rFonts w:hint="eastAsia"/>
          <w:color w:val="auto"/>
        </w:rPr>
        <w:instrText xml:space="preserve"> REF _Ref31336 \h </w:instrText>
      </w:r>
      <w:r>
        <w:rPr>
          <w:rFonts w:hint="eastAsia"/>
          <w:color w:val="auto"/>
        </w:rPr>
        <w:fldChar w:fldCharType="separate"/>
      </w:r>
      <w:r>
        <w:rPr>
          <w:color w:val="auto"/>
        </w:rPr>
        <w:t>图4-1</w:t>
      </w:r>
      <w:r>
        <w:rPr>
          <w:rFonts w:hint="eastAsia"/>
          <w:color w:val="auto"/>
        </w:rPr>
        <w:fldChar w:fldCharType="end"/>
      </w:r>
      <w:r>
        <w:rPr>
          <w:rFonts w:hint="eastAsia"/>
          <w:color w:val="auto"/>
        </w:rPr>
        <w:t>）</w:t>
      </w:r>
    </w:p>
    <w:p w14:paraId="5622C156">
      <w:pPr>
        <w:pStyle w:val="3"/>
        <w:rPr>
          <w:color w:val="auto"/>
        </w:rPr>
      </w:pPr>
      <w:bookmarkStart w:id="22" w:name="_Toc11973"/>
      <w:r>
        <w:rPr>
          <w:rFonts w:hint="eastAsia"/>
          <w:color w:val="auto"/>
        </w:rPr>
        <w:t>4.2 实施年限</w:t>
      </w:r>
      <w:bookmarkEnd w:id="22"/>
    </w:p>
    <w:p w14:paraId="55700E8B">
      <w:pPr>
        <w:ind w:firstLine="560"/>
        <w:rPr>
          <w:color w:val="auto"/>
        </w:rPr>
        <w:sectPr>
          <w:footerReference r:id="rId13" w:type="default"/>
          <w:pgSz w:w="11906" w:h="16838"/>
          <w:pgMar w:top="1418" w:right="1418" w:bottom="1418" w:left="1418" w:header="850" w:footer="850" w:gutter="0"/>
          <w:pgNumType w:fmt="decimal" w:start="1"/>
          <w:cols w:space="720" w:num="1"/>
        </w:sectPr>
      </w:pPr>
      <w:r>
        <w:rPr>
          <w:color w:val="auto"/>
        </w:rPr>
        <w:t>本方案自正式印发之日起实施，有效期5年。</w:t>
      </w:r>
    </w:p>
    <w:p w14:paraId="305C861E">
      <w:pPr>
        <w:pStyle w:val="17"/>
        <w:rPr>
          <w:rFonts w:hint="eastAsia" w:eastAsia="宋体"/>
          <w:color w:val="auto"/>
          <w:lang w:eastAsia="zh-CN"/>
        </w:rPr>
      </w:pPr>
      <w:r>
        <w:rPr>
          <w:rFonts w:hint="eastAsia" w:eastAsia="宋体"/>
          <w:color w:val="auto"/>
          <w:lang w:eastAsia="zh-CN"/>
        </w:rPr>
        <w:drawing>
          <wp:inline distT="0" distB="0" distL="114300" distR="114300">
            <wp:extent cx="7625080" cy="5480050"/>
            <wp:effectExtent l="0" t="0" r="13970" b="6350"/>
            <wp:docPr id="2" name="图片 2" descr="！！！濠江区行政区划图（印刷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濠江区行政区划图（印刷稿）_01"/>
                    <pic:cNvPicPr>
                      <a:picLocks noChangeAspect="1"/>
                    </pic:cNvPicPr>
                  </pic:nvPicPr>
                  <pic:blipFill>
                    <a:blip r:embed="rId15"/>
                    <a:stretch>
                      <a:fillRect/>
                    </a:stretch>
                  </pic:blipFill>
                  <pic:spPr>
                    <a:xfrm>
                      <a:off x="0" y="0"/>
                      <a:ext cx="7625080" cy="5480050"/>
                    </a:xfrm>
                    <a:prstGeom prst="rect">
                      <a:avLst/>
                    </a:prstGeom>
                  </pic:spPr>
                </pic:pic>
              </a:graphicData>
            </a:graphic>
          </wp:inline>
        </w:drawing>
      </w:r>
    </w:p>
    <w:p w14:paraId="7EC725C3">
      <w:pPr>
        <w:pStyle w:val="17"/>
        <w:rPr>
          <w:color w:val="auto"/>
        </w:rPr>
        <w:sectPr>
          <w:pgSz w:w="16838" w:h="11906" w:orient="landscape"/>
          <w:pgMar w:top="1418" w:right="1418" w:bottom="1418" w:left="1418" w:header="720" w:footer="720" w:gutter="0"/>
          <w:pgNumType w:fmt="decimal"/>
          <w:cols w:space="720" w:num="1"/>
        </w:sectPr>
      </w:pPr>
      <w:bookmarkStart w:id="23" w:name="_Ref31336"/>
      <w:r>
        <w:rPr>
          <w:color w:val="auto"/>
        </w:rPr>
        <w:t>图4-</w:t>
      </w:r>
      <w:r>
        <w:rPr>
          <w:color w:val="auto"/>
        </w:rPr>
        <w:fldChar w:fldCharType="begin"/>
      </w:r>
      <w:r>
        <w:rPr>
          <w:color w:val="auto"/>
        </w:rPr>
        <w:instrText xml:space="preserve"> SEQ 图4- \* ARABIC </w:instrText>
      </w:r>
      <w:r>
        <w:rPr>
          <w:color w:val="auto"/>
        </w:rPr>
        <w:fldChar w:fldCharType="separate"/>
      </w:r>
      <w:r>
        <w:rPr>
          <w:color w:val="auto"/>
        </w:rPr>
        <w:t>1</w:t>
      </w:r>
      <w:r>
        <w:rPr>
          <w:color w:val="auto"/>
        </w:rPr>
        <w:fldChar w:fldCharType="end"/>
      </w:r>
      <w:bookmarkEnd w:id="23"/>
      <w:r>
        <w:rPr>
          <w:color w:val="auto"/>
        </w:rPr>
        <w:t xml:space="preserve">  </w:t>
      </w:r>
      <w:r>
        <w:rPr>
          <w:rFonts w:hint="eastAsia"/>
          <w:color w:val="auto"/>
        </w:rPr>
        <w:t>汕头市濠江区地图</w:t>
      </w:r>
    </w:p>
    <w:p w14:paraId="45AFB4EE">
      <w:pPr>
        <w:pStyle w:val="2"/>
        <w:spacing w:before="120" w:after="120"/>
        <w:rPr>
          <w:color w:val="auto"/>
        </w:rPr>
      </w:pPr>
      <w:bookmarkStart w:id="24" w:name="_Toc11412"/>
      <w:r>
        <w:rPr>
          <w:rFonts w:hint="eastAsia"/>
          <w:color w:val="auto"/>
        </w:rPr>
        <w:t>5.禁养区调整方案</w:t>
      </w:r>
      <w:bookmarkEnd w:id="24"/>
    </w:p>
    <w:p w14:paraId="12A13826">
      <w:pPr>
        <w:pStyle w:val="3"/>
        <w:rPr>
          <w:color w:val="auto"/>
        </w:rPr>
      </w:pPr>
      <w:bookmarkStart w:id="25" w:name="_Toc3567"/>
      <w:r>
        <w:rPr>
          <w:rFonts w:hint="eastAsia"/>
          <w:color w:val="auto"/>
        </w:rPr>
        <w:t>5.1 禁养区调整范围</w:t>
      </w:r>
      <w:bookmarkEnd w:id="25"/>
    </w:p>
    <w:p w14:paraId="764B25AF">
      <w:pPr>
        <w:ind w:firstLine="560"/>
        <w:rPr>
          <w:color w:val="auto"/>
        </w:rPr>
      </w:pPr>
      <w:r>
        <w:rPr>
          <w:color w:val="auto"/>
        </w:rPr>
        <w:t>根据《关于印发&lt;畜禽养殖禁养区划定技术指南&gt;的通知》（环办水体〔2016〕99号）、《畜禽规模养殖污染防治条例》（中华人民共和国国务院令第643号令）等文件，结合</w:t>
      </w:r>
      <w:r>
        <w:rPr>
          <w:rFonts w:hint="eastAsia"/>
          <w:color w:val="auto"/>
        </w:rPr>
        <w:t>濠江</w:t>
      </w:r>
      <w:r>
        <w:rPr>
          <w:color w:val="auto"/>
        </w:rPr>
        <w:t>区实际情况，明确畜禽养殖禁养区划定范围如下：</w:t>
      </w:r>
    </w:p>
    <w:p w14:paraId="1DE6685D">
      <w:pPr>
        <w:ind w:firstLine="560"/>
        <w:rPr>
          <w:color w:val="auto"/>
        </w:rPr>
      </w:pPr>
      <w:r>
        <w:rPr>
          <w:color w:val="auto"/>
        </w:rPr>
        <w:t>1、饮用水水源保护区，包括饮用水源一级保护区和二级保护区的陆域范围；</w:t>
      </w:r>
    </w:p>
    <w:p w14:paraId="6830F50C">
      <w:pPr>
        <w:ind w:firstLine="560"/>
        <w:rPr>
          <w:color w:val="auto"/>
        </w:rPr>
      </w:pPr>
      <w:r>
        <w:rPr>
          <w:color w:val="auto"/>
        </w:rPr>
        <w:t>2、自然保护区，包括国家级和地方级自然保护区的核心区和缓冲区；</w:t>
      </w:r>
    </w:p>
    <w:p w14:paraId="681129EA">
      <w:pPr>
        <w:ind w:firstLine="560"/>
        <w:rPr>
          <w:color w:val="auto"/>
        </w:rPr>
      </w:pPr>
      <w:r>
        <w:rPr>
          <w:color w:val="auto"/>
        </w:rPr>
        <w:t>3、风景名胜区，包括国家级和省级风景名胜区；</w:t>
      </w:r>
    </w:p>
    <w:p w14:paraId="47669E90">
      <w:pPr>
        <w:ind w:firstLine="560"/>
        <w:rPr>
          <w:color w:val="auto"/>
        </w:rPr>
      </w:pPr>
      <w:r>
        <w:rPr>
          <w:color w:val="auto"/>
        </w:rPr>
        <w:t>4、城镇居民区和文化教育科学研究区；</w:t>
      </w:r>
    </w:p>
    <w:p w14:paraId="462F631D">
      <w:pPr>
        <w:ind w:firstLine="560"/>
        <w:rPr>
          <w:color w:val="auto"/>
        </w:rPr>
      </w:pPr>
      <w:r>
        <w:rPr>
          <w:color w:val="auto"/>
        </w:rPr>
        <w:t>5、陆域生态保护红线；</w:t>
      </w:r>
    </w:p>
    <w:p w14:paraId="19C81BD3">
      <w:pPr>
        <w:ind w:firstLine="560"/>
        <w:rPr>
          <w:color w:val="auto"/>
        </w:rPr>
      </w:pPr>
      <w:r>
        <w:rPr>
          <w:color w:val="auto"/>
        </w:rPr>
        <w:t>6、永久基本农田保护区。</w:t>
      </w:r>
    </w:p>
    <w:p w14:paraId="5F96B689">
      <w:pPr>
        <w:pStyle w:val="4"/>
        <w:ind w:firstLine="602"/>
        <w:rPr>
          <w:color w:val="auto"/>
        </w:rPr>
      </w:pPr>
      <w:bookmarkStart w:id="26" w:name="_Toc1660"/>
      <w:r>
        <w:rPr>
          <w:rFonts w:hint="eastAsia"/>
          <w:color w:val="auto"/>
        </w:rPr>
        <w:t>5.1.1饮用水水源保护区禁养区</w:t>
      </w:r>
      <w:bookmarkEnd w:id="26"/>
    </w:p>
    <w:p w14:paraId="11B6558D">
      <w:pPr>
        <w:ind w:firstLine="560"/>
        <w:rPr>
          <w:color w:val="auto"/>
        </w:rPr>
      </w:pPr>
      <w:r>
        <w:rPr>
          <w:rFonts w:hint="eastAsia"/>
          <w:color w:val="auto"/>
        </w:rPr>
        <w:t>《中华人民共和国畜牧法》（主席令2022年第124号，2023年3月1日施行）、《畜禽规模养殖污染防治条例》（国务院令643号，2014年1月1日施行）规定在饮用水水源保护区禁止建设畜禽养殖场和养殖小区。</w:t>
      </w:r>
    </w:p>
    <w:p w14:paraId="5DDA962B">
      <w:pPr>
        <w:ind w:firstLine="560"/>
        <w:rPr>
          <w:color w:val="auto"/>
        </w:rPr>
      </w:pPr>
      <w:r>
        <w:rPr>
          <w:rFonts w:hint="eastAsia"/>
          <w:color w:val="auto"/>
        </w:rPr>
        <w:t>因濠江区辖区内未有饮用水水源保护区，不涉及饮用水水源保护区禁养区的划定。</w:t>
      </w:r>
    </w:p>
    <w:p w14:paraId="40F280ED">
      <w:pPr>
        <w:pStyle w:val="4"/>
        <w:ind w:firstLine="602"/>
        <w:rPr>
          <w:color w:val="auto"/>
        </w:rPr>
      </w:pPr>
      <w:bookmarkStart w:id="27" w:name="_Toc47"/>
      <w:r>
        <w:rPr>
          <w:rFonts w:hint="eastAsia"/>
          <w:color w:val="auto"/>
        </w:rPr>
        <w:t>5.1.2 自然保护区和风景名胜区禁养区区划</w:t>
      </w:r>
      <w:bookmarkEnd w:id="27"/>
    </w:p>
    <w:p w14:paraId="23B896C6">
      <w:pPr>
        <w:ind w:firstLine="560"/>
        <w:rPr>
          <w:color w:val="auto"/>
        </w:rPr>
      </w:pPr>
      <w:r>
        <w:rPr>
          <w:color w:val="auto"/>
        </w:rPr>
        <w:t>根据《畜禽养殖禁养区划定技术指南》，</w:t>
      </w:r>
      <w:r>
        <w:rPr>
          <w:rFonts w:hint="eastAsia"/>
          <w:color w:val="auto"/>
        </w:rPr>
        <w:t>自然保护区</w:t>
      </w:r>
      <w:r>
        <w:rPr>
          <w:rFonts w:hint="eastAsia" w:ascii="仿宋_GB2312" w:hAnsi="仿宋_GB2312" w:cs="仿宋_GB2312"/>
          <w:color w:val="auto"/>
        </w:rPr>
        <w:t>畜禽</w:t>
      </w:r>
      <w:r>
        <w:rPr>
          <w:rFonts w:hint="eastAsia"/>
          <w:color w:val="auto"/>
        </w:rPr>
        <w:t>禁养区划定的原则</w:t>
      </w:r>
      <w:r>
        <w:rPr>
          <w:rFonts w:hint="eastAsia" w:ascii="仿宋_GB2312" w:hAnsi="仿宋_GB2312" w:cs="仿宋_GB2312"/>
          <w:color w:val="auto"/>
        </w:rPr>
        <w:t>为</w:t>
      </w:r>
      <w:r>
        <w:rPr>
          <w:rFonts w:hint="eastAsia"/>
          <w:color w:val="auto"/>
        </w:rPr>
        <w:t>“</w:t>
      </w:r>
      <w:r>
        <w:rPr>
          <w:color w:val="auto"/>
        </w:rPr>
        <w:t>包括国家级和地方级自然保护区的核心区和缓冲区，按照各级人民政府公布的自然保护区范围执行。自然保护区核心区和缓冲区范围内，禁止建设养殖场</w:t>
      </w:r>
      <w:r>
        <w:rPr>
          <w:rFonts w:hint="eastAsia"/>
          <w:color w:val="auto"/>
        </w:rPr>
        <w:t>”。</w:t>
      </w:r>
    </w:p>
    <w:p w14:paraId="16874EFF">
      <w:pPr>
        <w:ind w:firstLine="560"/>
        <w:rPr>
          <w:color w:val="auto"/>
        </w:rPr>
      </w:pPr>
      <w:r>
        <w:rPr>
          <w:rFonts w:hint="eastAsia"/>
          <w:color w:val="auto"/>
        </w:rPr>
        <w:t>风景名胜区畜禽禁养区划定的原则为“</w:t>
      </w:r>
      <w:r>
        <w:rPr>
          <w:color w:val="auto"/>
        </w:rPr>
        <w:t>包括国家级和省级风景名胜区，以国务院及省级人民政府批准公布的名单为准，范围按照其规划确定的范围执行。其中，风景名胜区的核心景区禁止建设养殖场；其他区域禁止建设有污染物排放的养殖场</w:t>
      </w:r>
      <w:r>
        <w:rPr>
          <w:rFonts w:hint="eastAsia"/>
          <w:color w:val="auto"/>
        </w:rPr>
        <w:t>”。</w:t>
      </w:r>
    </w:p>
    <w:p w14:paraId="6A6AD756">
      <w:pPr>
        <w:ind w:firstLine="560"/>
        <w:rPr>
          <w:color w:val="auto"/>
        </w:rPr>
      </w:pPr>
      <w:r>
        <w:rPr>
          <w:rFonts w:hint="eastAsia"/>
          <w:color w:val="auto"/>
        </w:rPr>
        <w:t>根据《汕头市国土空间总体规划（2021-2035年）》和《汕头市自然保护地整合优化方案》，汕头市濠江区境内现有自然保护区和风景名胜区禁养区有汕头礐石风景名胜区，属于地方级风景名胜区。结合《汕头市国土空间总体规划（2021-2035年）》、《汕头市礐石风景名胜区总体规划（2016-2035）》等规划，并经风景区管理处等核实，景区总面积14.5186</w:t>
      </w:r>
      <w:r>
        <w:rPr>
          <w:color w:val="auto"/>
        </w:rPr>
        <w:t>平方公里</w:t>
      </w:r>
      <w:r>
        <w:rPr>
          <w:rFonts w:hint="eastAsia"/>
          <w:color w:val="auto"/>
        </w:rPr>
        <w:t>（包括澳头苏埃湾红树林湿地自然保护区）</w:t>
      </w:r>
      <w:r>
        <w:rPr>
          <w:color w:val="auto"/>
        </w:rPr>
        <w:t>，其中陆域面积</w:t>
      </w:r>
      <w:r>
        <w:rPr>
          <w:rFonts w:hint="eastAsia"/>
          <w:color w:val="auto"/>
        </w:rPr>
        <w:t>9.5747</w:t>
      </w:r>
      <w:r>
        <w:rPr>
          <w:color w:val="auto"/>
        </w:rPr>
        <w:t>平方公里，海域面积</w:t>
      </w:r>
      <w:r>
        <w:rPr>
          <w:rFonts w:hint="eastAsia"/>
          <w:color w:val="auto"/>
        </w:rPr>
        <w:t>4.9439</w:t>
      </w:r>
      <w:r>
        <w:rPr>
          <w:color w:val="auto"/>
        </w:rPr>
        <w:t>平方公里</w:t>
      </w:r>
      <w:r>
        <w:rPr>
          <w:rFonts w:hint="eastAsia"/>
          <w:color w:val="auto"/>
        </w:rPr>
        <w:t>，</w:t>
      </w:r>
      <w:r>
        <w:rPr>
          <w:color w:val="auto"/>
        </w:rPr>
        <w:t>本区划确定</w:t>
      </w:r>
      <w:r>
        <w:rPr>
          <w:rFonts w:hint="eastAsia"/>
          <w:color w:val="auto"/>
        </w:rPr>
        <w:t>汕头礐石地方级风景名胜区（包括澳头苏埃湾红树林湿地自然保护区）</w:t>
      </w:r>
      <w:r>
        <w:rPr>
          <w:color w:val="auto"/>
        </w:rPr>
        <w:t>陆域面积为禁养区，禁养区面积</w:t>
      </w:r>
      <w:r>
        <w:rPr>
          <w:rFonts w:hint="eastAsia"/>
          <w:color w:val="auto"/>
        </w:rPr>
        <w:t>9.5747</w:t>
      </w:r>
      <w:r>
        <w:rPr>
          <w:color w:val="auto"/>
        </w:rPr>
        <w:t>平方公里</w:t>
      </w:r>
      <w:r>
        <w:rPr>
          <w:rFonts w:hint="eastAsia"/>
          <w:color w:val="auto"/>
        </w:rPr>
        <w:t>，其中，其中核心景区面积为2.0743平方公里，为</w:t>
      </w:r>
      <w:r>
        <w:rPr>
          <w:color w:val="auto"/>
        </w:rPr>
        <w:t>禁止建设养殖区域</w:t>
      </w:r>
      <w:r>
        <w:rPr>
          <w:rFonts w:hint="eastAsia"/>
          <w:color w:val="auto"/>
        </w:rPr>
        <w:t>；一般景区7.5004平方公里，为</w:t>
      </w:r>
      <w:r>
        <w:rPr>
          <w:color w:val="auto"/>
        </w:rPr>
        <w:t>禁止建设有污染物排放的养殖场区域</w:t>
      </w:r>
      <w:r>
        <w:rPr>
          <w:rFonts w:hint="eastAsia"/>
          <w:color w:val="auto"/>
        </w:rPr>
        <w:t>。</w:t>
      </w:r>
    </w:p>
    <w:p w14:paraId="11915543">
      <w:pPr>
        <w:ind w:firstLine="560"/>
        <w:rPr>
          <w:color w:val="auto"/>
        </w:rPr>
      </w:pPr>
      <w:r>
        <w:rPr>
          <w:rFonts w:hint="eastAsia"/>
          <w:color w:val="auto"/>
        </w:rPr>
        <w:t>濠江区自然保护区和风景名胜区禁养区分布情况见</w:t>
      </w:r>
      <w:r>
        <w:rPr>
          <w:rFonts w:hint="eastAsia"/>
          <w:color w:val="auto"/>
        </w:rPr>
        <w:fldChar w:fldCharType="begin"/>
      </w:r>
      <w:r>
        <w:rPr>
          <w:rFonts w:hint="eastAsia"/>
          <w:color w:val="auto"/>
        </w:rPr>
        <w:instrText xml:space="preserve"> REF _Ref20252 \h </w:instrText>
      </w:r>
      <w:r>
        <w:rPr>
          <w:color w:val="auto"/>
        </w:rPr>
        <w:instrText xml:space="preserve"> \* MERGEFORMAT </w:instrText>
      </w:r>
      <w:r>
        <w:rPr>
          <w:rFonts w:hint="eastAsia"/>
          <w:color w:val="auto"/>
        </w:rPr>
        <w:fldChar w:fldCharType="separate"/>
      </w:r>
      <w:r>
        <w:rPr>
          <w:color w:val="auto"/>
        </w:rPr>
        <w:t>图5-1</w:t>
      </w:r>
      <w:r>
        <w:rPr>
          <w:rFonts w:hint="eastAsia"/>
          <w:color w:val="auto"/>
        </w:rPr>
        <w:fldChar w:fldCharType="end"/>
      </w:r>
      <w:r>
        <w:rPr>
          <w:rFonts w:hint="eastAsia"/>
          <w:color w:val="auto"/>
        </w:rPr>
        <w:t>。</w:t>
      </w:r>
    </w:p>
    <w:p w14:paraId="3C866E38">
      <w:pPr>
        <w:spacing w:line="560" w:lineRule="exact"/>
        <w:ind w:firstLine="560"/>
        <w:rPr>
          <w:rFonts w:ascii="仿宋_GB2312" w:hAnsi="仿宋_GB2312" w:eastAsia="仿宋_GB2312" w:cs="仿宋_GB2312"/>
          <w:color w:val="auto"/>
          <w:szCs w:val="28"/>
        </w:rPr>
        <w:sectPr>
          <w:pgSz w:w="11906" w:h="16838"/>
          <w:pgMar w:top="1418" w:right="1418" w:bottom="1418" w:left="1418" w:header="720" w:footer="720" w:gutter="0"/>
          <w:pgNumType w:fmt="decimal"/>
          <w:cols w:space="720" w:num="1"/>
        </w:sectPr>
      </w:pPr>
    </w:p>
    <w:p w14:paraId="6E824979">
      <w:pPr>
        <w:pStyle w:val="17"/>
        <w:rPr>
          <w:rFonts w:hint="eastAsia" w:eastAsia="宋体"/>
          <w:color w:val="auto"/>
          <w:lang w:eastAsia="zh-CN"/>
        </w:rPr>
      </w:pPr>
      <w:r>
        <w:rPr>
          <w:rFonts w:hint="eastAsia" w:eastAsia="宋体"/>
          <w:color w:val="auto"/>
          <w:lang w:eastAsia="zh-CN"/>
        </w:rPr>
        <w:drawing>
          <wp:inline distT="0" distB="0" distL="114300" distR="114300">
            <wp:extent cx="7705090" cy="5452110"/>
            <wp:effectExtent l="0" t="0" r="3810" b="8890"/>
            <wp:docPr id="14" name="图片 14" descr="汕头市濠江区风景名胜区与自然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汕头市濠江区风景名胜区与自然保护区分布图"/>
                    <pic:cNvPicPr>
                      <a:picLocks noChangeAspect="1"/>
                    </pic:cNvPicPr>
                  </pic:nvPicPr>
                  <pic:blipFill>
                    <a:blip r:embed="rId16"/>
                    <a:stretch>
                      <a:fillRect/>
                    </a:stretch>
                  </pic:blipFill>
                  <pic:spPr>
                    <a:xfrm>
                      <a:off x="0" y="0"/>
                      <a:ext cx="7705090" cy="5452110"/>
                    </a:xfrm>
                    <a:prstGeom prst="rect">
                      <a:avLst/>
                    </a:prstGeom>
                  </pic:spPr>
                </pic:pic>
              </a:graphicData>
            </a:graphic>
          </wp:inline>
        </w:drawing>
      </w:r>
    </w:p>
    <w:p w14:paraId="2F98C868">
      <w:pPr>
        <w:pStyle w:val="17"/>
        <w:rPr>
          <w:rFonts w:ascii="仿宋_GB2312" w:hAnsi="仿宋_GB2312" w:cs="仿宋_GB2312"/>
          <w:color w:val="auto"/>
          <w:sz w:val="28"/>
          <w:szCs w:val="28"/>
        </w:rPr>
        <w:sectPr>
          <w:pgSz w:w="16838" w:h="11906" w:orient="landscape"/>
          <w:pgMar w:top="1418" w:right="1418" w:bottom="1418" w:left="1418" w:header="720" w:footer="720" w:gutter="0"/>
          <w:pgNumType w:fmt="decimal"/>
          <w:cols w:space="720" w:num="1"/>
        </w:sectPr>
      </w:pPr>
      <w:bookmarkStart w:id="28" w:name="_Ref20252"/>
      <w:r>
        <w:rPr>
          <w:color w:val="auto"/>
        </w:rPr>
        <w:t>图5-</w:t>
      </w:r>
      <w:r>
        <w:rPr>
          <w:color w:val="auto"/>
        </w:rPr>
        <w:fldChar w:fldCharType="begin"/>
      </w:r>
      <w:r>
        <w:rPr>
          <w:color w:val="auto"/>
        </w:rPr>
        <w:instrText xml:space="preserve"> SEQ 图5- \* ARABIC </w:instrText>
      </w:r>
      <w:r>
        <w:rPr>
          <w:color w:val="auto"/>
        </w:rPr>
        <w:fldChar w:fldCharType="separate"/>
      </w:r>
      <w:r>
        <w:rPr>
          <w:color w:val="auto"/>
        </w:rPr>
        <w:t>1</w:t>
      </w:r>
      <w:r>
        <w:rPr>
          <w:color w:val="auto"/>
        </w:rPr>
        <w:fldChar w:fldCharType="end"/>
      </w:r>
      <w:bookmarkEnd w:id="28"/>
      <w:r>
        <w:rPr>
          <w:rFonts w:hint="eastAsia"/>
          <w:color w:val="auto"/>
        </w:rPr>
        <w:t xml:space="preserve">  濠江区自然保护区和风景名胜区禁养区分布图</w:t>
      </w:r>
    </w:p>
    <w:p w14:paraId="5D313C6F">
      <w:pPr>
        <w:pStyle w:val="4"/>
        <w:ind w:firstLine="602"/>
        <w:rPr>
          <w:color w:val="auto"/>
        </w:rPr>
      </w:pPr>
      <w:bookmarkStart w:id="29" w:name="_Toc32118"/>
      <w:r>
        <w:rPr>
          <w:rFonts w:hint="eastAsia"/>
          <w:color w:val="auto"/>
        </w:rPr>
        <w:t>5.1.3 城镇人口集中区禁养区区划</w:t>
      </w:r>
      <w:bookmarkEnd w:id="29"/>
    </w:p>
    <w:p w14:paraId="7C1093FE">
      <w:pPr>
        <w:ind w:firstLine="560"/>
        <w:rPr>
          <w:color w:val="auto"/>
        </w:rPr>
      </w:pPr>
      <w:r>
        <w:rPr>
          <w:rFonts w:hint="eastAsia"/>
          <w:color w:val="auto"/>
        </w:rPr>
        <w:t>《中华人民共和国畜牧法》（主席令2005年第45号）、《畜禽规模养殖污染防治条例》（国务院令643号，2014年1月1日施行）规定在城镇居民区、文化教育科学研究区等人口集中区禁止建设畜禽养殖场和养殖小区；根据《畜禽养殖禁养区划定技术指南》，城镇居民区、文化教育科学研究区等人口集中区禁养区划定的原则为：“指根据城镇现行总体规划、动物防疫条件、卫生防护和大气环境保护距离等要求，因地制宜，兼顾城镇发展，科学划定的区域”。</w:t>
      </w:r>
    </w:p>
    <w:p w14:paraId="06AC40E0">
      <w:pPr>
        <w:ind w:firstLine="560"/>
        <w:rPr>
          <w:color w:val="auto"/>
        </w:rPr>
      </w:pPr>
      <w:r>
        <w:rPr>
          <w:rFonts w:hint="eastAsia"/>
          <w:color w:val="auto"/>
        </w:rPr>
        <w:t>城镇开发边界为城镇集中发展建设区域，是推进城市化进程的集中空间。根据《汕头市国土空间总体规划（2021-2035年）》中“三区三线”划定成果，本区划将城镇开发边界范围（城镇集中建设区）认定为城镇人口集中区，将其纳入禁养区，禁止建设畜禽养殖场。经校核矢量边界数据，本区划纳入禁养区的城镇人口集中区面积为74.48平方公里。</w:t>
      </w:r>
    </w:p>
    <w:p w14:paraId="71E8421E">
      <w:pPr>
        <w:ind w:firstLine="560"/>
        <w:rPr>
          <w:color w:val="auto"/>
        </w:rPr>
        <w:sectPr>
          <w:pgSz w:w="11906" w:h="16838"/>
          <w:pgMar w:top="1418" w:right="1418" w:bottom="1418" w:left="1418" w:header="720" w:footer="720" w:gutter="0"/>
          <w:pgNumType w:fmt="decimal"/>
          <w:cols w:space="720" w:num="1"/>
        </w:sectPr>
      </w:pPr>
      <w:r>
        <w:rPr>
          <w:rFonts w:hint="eastAsia"/>
          <w:color w:val="auto"/>
        </w:rPr>
        <w:t>濠江区城镇人口集中区禁养区分布情况见</w:t>
      </w:r>
      <w:r>
        <w:rPr>
          <w:rFonts w:hint="eastAsia"/>
          <w:color w:val="auto"/>
        </w:rPr>
        <w:fldChar w:fldCharType="begin"/>
      </w:r>
      <w:r>
        <w:rPr>
          <w:rFonts w:hint="eastAsia"/>
          <w:color w:val="auto"/>
        </w:rPr>
        <w:instrText xml:space="preserve"> REF _Ref24219 \h </w:instrText>
      </w:r>
      <w:r>
        <w:rPr>
          <w:rFonts w:hint="eastAsia"/>
          <w:color w:val="auto"/>
        </w:rPr>
        <w:fldChar w:fldCharType="separate"/>
      </w:r>
      <w:r>
        <w:rPr>
          <w:color w:val="auto"/>
        </w:rPr>
        <w:t>图5-2</w:t>
      </w:r>
      <w:r>
        <w:rPr>
          <w:rFonts w:hint="eastAsia"/>
          <w:color w:val="auto"/>
        </w:rPr>
        <w:fldChar w:fldCharType="end"/>
      </w:r>
      <w:r>
        <w:rPr>
          <w:rFonts w:hint="eastAsia"/>
          <w:color w:val="auto"/>
        </w:rPr>
        <w:t>。</w:t>
      </w:r>
    </w:p>
    <w:p w14:paraId="041B6D80">
      <w:pPr>
        <w:pStyle w:val="17"/>
        <w:rPr>
          <w:rFonts w:hint="eastAsia" w:eastAsia="宋体"/>
          <w:color w:val="auto"/>
          <w:lang w:eastAsia="zh-CN"/>
        </w:rPr>
      </w:pPr>
      <w:r>
        <w:rPr>
          <w:rFonts w:hint="eastAsia" w:eastAsia="宋体"/>
          <w:color w:val="auto"/>
          <w:lang w:eastAsia="zh-CN"/>
        </w:rPr>
        <w:drawing>
          <wp:inline distT="0" distB="0" distL="114300" distR="114300">
            <wp:extent cx="7649845" cy="5413375"/>
            <wp:effectExtent l="0" t="0" r="8255" b="9525"/>
            <wp:docPr id="11" name="图片 11" descr="汕头市濠江区城镇开发边界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汕头市濠江区城镇开发边界分布图"/>
                    <pic:cNvPicPr>
                      <a:picLocks noChangeAspect="1"/>
                    </pic:cNvPicPr>
                  </pic:nvPicPr>
                  <pic:blipFill>
                    <a:blip r:embed="rId17"/>
                    <a:stretch>
                      <a:fillRect/>
                    </a:stretch>
                  </pic:blipFill>
                  <pic:spPr>
                    <a:xfrm>
                      <a:off x="0" y="0"/>
                      <a:ext cx="7649845" cy="5413375"/>
                    </a:xfrm>
                    <a:prstGeom prst="rect">
                      <a:avLst/>
                    </a:prstGeom>
                  </pic:spPr>
                </pic:pic>
              </a:graphicData>
            </a:graphic>
          </wp:inline>
        </w:drawing>
      </w:r>
    </w:p>
    <w:p w14:paraId="516F60E8">
      <w:pPr>
        <w:pStyle w:val="17"/>
        <w:rPr>
          <w:color w:val="auto"/>
          <w:sz w:val="28"/>
          <w:szCs w:val="28"/>
        </w:rPr>
        <w:sectPr>
          <w:pgSz w:w="16838" w:h="11906" w:orient="landscape"/>
          <w:pgMar w:top="1418" w:right="1418" w:bottom="1418" w:left="1418" w:header="720" w:footer="720" w:gutter="0"/>
          <w:pgNumType w:fmt="decimal"/>
          <w:cols w:space="720" w:num="1"/>
        </w:sectPr>
      </w:pPr>
      <w:bookmarkStart w:id="30" w:name="_Ref24219"/>
      <w:r>
        <w:rPr>
          <w:color w:val="auto"/>
        </w:rPr>
        <w:t>图5-</w:t>
      </w:r>
      <w:r>
        <w:rPr>
          <w:color w:val="auto"/>
        </w:rPr>
        <w:fldChar w:fldCharType="begin"/>
      </w:r>
      <w:r>
        <w:rPr>
          <w:color w:val="auto"/>
        </w:rPr>
        <w:instrText xml:space="preserve"> SEQ 图5- \* ARABIC </w:instrText>
      </w:r>
      <w:r>
        <w:rPr>
          <w:color w:val="auto"/>
        </w:rPr>
        <w:fldChar w:fldCharType="separate"/>
      </w:r>
      <w:r>
        <w:rPr>
          <w:color w:val="auto"/>
        </w:rPr>
        <w:t>2</w:t>
      </w:r>
      <w:r>
        <w:rPr>
          <w:color w:val="auto"/>
        </w:rPr>
        <w:fldChar w:fldCharType="end"/>
      </w:r>
      <w:bookmarkEnd w:id="30"/>
      <w:r>
        <w:rPr>
          <w:rFonts w:hint="eastAsia"/>
          <w:color w:val="auto"/>
        </w:rPr>
        <w:t xml:space="preserve">  城镇人口集中区禁养区分布图</w:t>
      </w:r>
    </w:p>
    <w:p w14:paraId="0BEAA6F5">
      <w:pPr>
        <w:pStyle w:val="4"/>
        <w:ind w:firstLine="602"/>
        <w:rPr>
          <w:color w:val="auto"/>
        </w:rPr>
      </w:pPr>
      <w:bookmarkStart w:id="31" w:name="_Toc18735"/>
      <w:r>
        <w:rPr>
          <w:rFonts w:hint="eastAsia"/>
          <w:color w:val="auto"/>
        </w:rPr>
        <w:t>5.1.4 陆域生态保护红线禁养区区划</w:t>
      </w:r>
      <w:bookmarkEnd w:id="31"/>
    </w:p>
    <w:p w14:paraId="2970711E">
      <w:pPr>
        <w:ind w:firstLine="560"/>
        <w:rPr>
          <w:color w:val="auto"/>
        </w:rPr>
      </w:pPr>
      <w:r>
        <w:rPr>
          <w:rFonts w:hint="eastAsia"/>
          <w:color w:val="auto"/>
        </w:rPr>
        <w:t>根据《广东省环境保护条例》中“第四十九条 县级以上人民政府有关主管部门可以根据当地环境承载能力和污染物排放总量控制要求，划定畜禽禁养区和限养区”，生态保护红线内区域的环境敏感性高、环境承载能力较弱，有必要纳入禁养区范围。</w:t>
      </w:r>
    </w:p>
    <w:p w14:paraId="3BDFB322">
      <w:pPr>
        <w:ind w:firstLine="560"/>
        <w:rPr>
          <w:color w:val="auto"/>
        </w:rPr>
      </w:pPr>
      <w:r>
        <w:rPr>
          <w:rFonts w:hint="eastAsia"/>
          <w:color w:val="auto"/>
        </w:rPr>
        <w:t>根据《广东省自然资源厅 广东省生态环境厅 广东省林业局关于严格生态保护红线管理的通知（试行）》（粤自然资发〔2023〕11号）、《中共广东省委办公厅 广东省人民政府办公厅关于加强生态环境分区管控的实施意见》（2024年11月25日）等文件要求，及《汕头市国土空间总体规划（2021-2035年）》中“三区三线”划定成果，本区划将濠江区陆域生态保护红线区域纳入禁养区，禁止建设畜禽养殖场，经校核矢量边界数据，本区划纳入禁养区的生态保护红线区域面积为3.38平方公里。</w:t>
      </w:r>
    </w:p>
    <w:p w14:paraId="457F475A">
      <w:pPr>
        <w:ind w:firstLine="560"/>
        <w:rPr>
          <w:color w:val="auto"/>
        </w:rPr>
      </w:pPr>
      <w:r>
        <w:rPr>
          <w:rFonts w:hint="eastAsia"/>
          <w:color w:val="auto"/>
        </w:rPr>
        <w:t>濠江区陆域生态保护红线禁养区分布情况见</w:t>
      </w:r>
      <w:r>
        <w:rPr>
          <w:rFonts w:hint="eastAsia"/>
          <w:color w:val="auto"/>
        </w:rPr>
        <w:fldChar w:fldCharType="begin"/>
      </w:r>
      <w:r>
        <w:rPr>
          <w:rFonts w:hint="eastAsia"/>
          <w:color w:val="auto"/>
        </w:rPr>
        <w:instrText xml:space="preserve"> REF _Ref17514 \h </w:instrText>
      </w:r>
      <w:r>
        <w:rPr>
          <w:color w:val="auto"/>
        </w:rPr>
        <w:instrText xml:space="preserve"> \* MERGEFORMAT </w:instrText>
      </w:r>
      <w:r>
        <w:rPr>
          <w:rFonts w:hint="eastAsia"/>
          <w:color w:val="auto"/>
        </w:rPr>
        <w:fldChar w:fldCharType="separate"/>
      </w:r>
      <w:r>
        <w:rPr>
          <w:color w:val="auto"/>
        </w:rPr>
        <w:t>图5-3</w:t>
      </w:r>
      <w:r>
        <w:rPr>
          <w:rFonts w:hint="eastAsia"/>
          <w:color w:val="auto"/>
        </w:rPr>
        <w:fldChar w:fldCharType="end"/>
      </w:r>
      <w:r>
        <w:rPr>
          <w:rFonts w:hint="eastAsia"/>
          <w:color w:val="auto"/>
        </w:rPr>
        <w:t>。</w:t>
      </w:r>
    </w:p>
    <w:p w14:paraId="06BFBE53">
      <w:pPr>
        <w:spacing w:line="560" w:lineRule="exact"/>
        <w:ind w:firstLine="560"/>
        <w:rPr>
          <w:rFonts w:eastAsia="仿宋_GB2312"/>
          <w:color w:val="auto"/>
          <w:szCs w:val="28"/>
        </w:rPr>
        <w:sectPr>
          <w:pgSz w:w="11906" w:h="16838"/>
          <w:pgMar w:top="1418" w:right="1418" w:bottom="1418" w:left="1418" w:header="720" w:footer="720" w:gutter="0"/>
          <w:pgNumType w:fmt="decimal"/>
          <w:cols w:space="720" w:num="1"/>
        </w:sectPr>
      </w:pPr>
    </w:p>
    <w:p w14:paraId="68B7F7F6">
      <w:pPr>
        <w:pStyle w:val="17"/>
        <w:rPr>
          <w:rFonts w:hint="eastAsia" w:eastAsia="宋体"/>
          <w:color w:val="auto"/>
          <w:lang w:eastAsia="zh-CN"/>
        </w:rPr>
      </w:pPr>
      <w:r>
        <w:rPr>
          <w:rFonts w:hint="eastAsia" w:eastAsia="宋体"/>
          <w:color w:val="auto"/>
          <w:lang w:eastAsia="zh-CN"/>
        </w:rPr>
        <w:drawing>
          <wp:inline distT="0" distB="0" distL="114300" distR="114300">
            <wp:extent cx="7626985" cy="5396865"/>
            <wp:effectExtent l="0" t="0" r="5715" b="635"/>
            <wp:docPr id="10" name="图片 10" descr="汕头市濠江区陆域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汕头市濠江区陆域生态保护红线分布图"/>
                    <pic:cNvPicPr>
                      <a:picLocks noChangeAspect="1"/>
                    </pic:cNvPicPr>
                  </pic:nvPicPr>
                  <pic:blipFill>
                    <a:blip r:embed="rId18"/>
                    <a:stretch>
                      <a:fillRect/>
                    </a:stretch>
                  </pic:blipFill>
                  <pic:spPr>
                    <a:xfrm>
                      <a:off x="0" y="0"/>
                      <a:ext cx="7626985" cy="5396865"/>
                    </a:xfrm>
                    <a:prstGeom prst="rect">
                      <a:avLst/>
                    </a:prstGeom>
                  </pic:spPr>
                </pic:pic>
              </a:graphicData>
            </a:graphic>
          </wp:inline>
        </w:drawing>
      </w:r>
    </w:p>
    <w:p w14:paraId="7E324858">
      <w:pPr>
        <w:pStyle w:val="17"/>
        <w:rPr>
          <w:color w:val="auto"/>
        </w:rPr>
        <w:sectPr>
          <w:pgSz w:w="16838" w:h="11906" w:orient="landscape"/>
          <w:pgMar w:top="1418" w:right="1418" w:bottom="1418" w:left="1418" w:header="720" w:footer="720" w:gutter="0"/>
          <w:pgNumType w:fmt="decimal"/>
          <w:cols w:space="720" w:num="1"/>
        </w:sectPr>
      </w:pPr>
      <w:bookmarkStart w:id="32" w:name="_Ref17514"/>
      <w:r>
        <w:rPr>
          <w:color w:val="auto"/>
        </w:rPr>
        <w:t>图5-</w:t>
      </w:r>
      <w:r>
        <w:rPr>
          <w:color w:val="auto"/>
        </w:rPr>
        <w:fldChar w:fldCharType="begin"/>
      </w:r>
      <w:r>
        <w:rPr>
          <w:color w:val="auto"/>
        </w:rPr>
        <w:instrText xml:space="preserve"> SEQ 图5- \* ARABIC </w:instrText>
      </w:r>
      <w:r>
        <w:rPr>
          <w:color w:val="auto"/>
        </w:rPr>
        <w:fldChar w:fldCharType="separate"/>
      </w:r>
      <w:r>
        <w:rPr>
          <w:color w:val="auto"/>
        </w:rPr>
        <w:t>3</w:t>
      </w:r>
      <w:r>
        <w:rPr>
          <w:color w:val="auto"/>
        </w:rPr>
        <w:fldChar w:fldCharType="end"/>
      </w:r>
      <w:bookmarkEnd w:id="32"/>
      <w:r>
        <w:rPr>
          <w:rFonts w:hint="eastAsia"/>
          <w:color w:val="auto"/>
        </w:rPr>
        <w:t xml:space="preserve">  濠江区陆域生态保护红线禁养区分布图</w:t>
      </w:r>
    </w:p>
    <w:p w14:paraId="4D05B0B8">
      <w:pPr>
        <w:pStyle w:val="4"/>
        <w:ind w:firstLine="602"/>
        <w:rPr>
          <w:color w:val="auto"/>
        </w:rPr>
      </w:pPr>
      <w:bookmarkStart w:id="33" w:name="_Toc21323"/>
      <w:r>
        <w:rPr>
          <w:rFonts w:hint="eastAsia"/>
          <w:color w:val="auto"/>
        </w:rPr>
        <w:t>5.1.5 永久基本农田保护区禁养区区划</w:t>
      </w:r>
      <w:bookmarkEnd w:id="33"/>
    </w:p>
    <w:p w14:paraId="2F0DC62A">
      <w:pPr>
        <w:ind w:firstLine="560"/>
        <w:rPr>
          <w:color w:val="auto"/>
        </w:rPr>
      </w:pPr>
      <w:r>
        <w:rPr>
          <w:rFonts w:hint="eastAsia"/>
          <w:color w:val="auto"/>
        </w:rPr>
        <w:t>根据《基本农田保护条例》中“第十五条 基本农田保护区经依法划定后，任何单位和个人不得改变或者占用。国家能源、交通、水利、军事设施等重点建设项目选址确实无法避开基本农田保护区，需要占用基本农田，涉及农用地转用或者征收土地的，必须经国务院批准。”、“第十七条 禁止任何单位和个人在基本农田保护区内建窑、建房、建坟、挖砂、采石、采矿、取土、堆放固体废弃物或者进行其他破坏基本农田的活动。禁止任何单位和个人占用基本农田发展林果业和挖塘养鱼”。本区划按相关法律法规要求，将濠江区辖境内的永久基本农田保护区划定为禁养区，禁止建设畜禽养殖场。</w:t>
      </w:r>
    </w:p>
    <w:p w14:paraId="7D0F65D4">
      <w:pPr>
        <w:ind w:firstLine="560"/>
        <w:rPr>
          <w:color w:val="auto"/>
        </w:rPr>
      </w:pPr>
      <w:r>
        <w:rPr>
          <w:rFonts w:hint="eastAsia"/>
          <w:color w:val="auto"/>
        </w:rPr>
        <w:t>根据《汕头市国土空间总体规划（2021-2035年）》中“三区三线”划定成果和自然资源部门核实，结合濠江区实际，本区划纳入永久基本农田保护区禁养区的面积为11.00平方公里，禁止建设养殖场。</w:t>
      </w:r>
    </w:p>
    <w:p w14:paraId="3FA40539">
      <w:pPr>
        <w:ind w:firstLine="560"/>
        <w:rPr>
          <w:color w:val="auto"/>
        </w:rPr>
      </w:pPr>
      <w:r>
        <w:rPr>
          <w:rFonts w:hint="eastAsia"/>
          <w:color w:val="auto"/>
        </w:rPr>
        <w:t>濠江区永久基本农田保护区禁养区分布情况见</w:t>
      </w:r>
      <w:r>
        <w:rPr>
          <w:rFonts w:hint="eastAsia"/>
          <w:color w:val="auto"/>
        </w:rPr>
        <w:fldChar w:fldCharType="begin"/>
      </w:r>
      <w:r>
        <w:rPr>
          <w:rFonts w:hint="eastAsia"/>
          <w:color w:val="auto"/>
        </w:rPr>
        <w:instrText xml:space="preserve"> REF _Ref20884 \h </w:instrText>
      </w:r>
      <w:r>
        <w:rPr>
          <w:color w:val="auto"/>
        </w:rPr>
        <w:instrText xml:space="preserve"> \* MERGEFORMAT </w:instrText>
      </w:r>
      <w:r>
        <w:rPr>
          <w:rFonts w:hint="eastAsia"/>
          <w:color w:val="auto"/>
        </w:rPr>
        <w:fldChar w:fldCharType="separate"/>
      </w:r>
      <w:r>
        <w:rPr>
          <w:color w:val="auto"/>
        </w:rPr>
        <w:t>图5-4</w:t>
      </w:r>
      <w:r>
        <w:rPr>
          <w:rFonts w:hint="eastAsia"/>
          <w:color w:val="auto"/>
        </w:rPr>
        <w:fldChar w:fldCharType="end"/>
      </w:r>
      <w:r>
        <w:rPr>
          <w:rFonts w:hint="eastAsia"/>
          <w:color w:val="auto"/>
        </w:rPr>
        <w:t>。</w:t>
      </w:r>
    </w:p>
    <w:p w14:paraId="323E1DC7">
      <w:pPr>
        <w:spacing w:line="560" w:lineRule="exact"/>
        <w:ind w:firstLine="560"/>
        <w:rPr>
          <w:rFonts w:eastAsia="仿宋_GB2312"/>
          <w:color w:val="auto"/>
          <w:szCs w:val="28"/>
        </w:rPr>
        <w:sectPr>
          <w:pgSz w:w="11906" w:h="16838"/>
          <w:pgMar w:top="1418" w:right="1418" w:bottom="1418" w:left="1418" w:header="720" w:footer="720" w:gutter="0"/>
          <w:pgNumType w:fmt="decimal"/>
          <w:cols w:space="720" w:num="1"/>
        </w:sectPr>
      </w:pPr>
    </w:p>
    <w:p w14:paraId="66A9E90F">
      <w:pPr>
        <w:pStyle w:val="17"/>
        <w:rPr>
          <w:rFonts w:hint="eastAsia" w:eastAsia="宋体"/>
          <w:color w:val="auto"/>
          <w:lang w:eastAsia="zh-CN"/>
        </w:rPr>
      </w:pPr>
      <w:bookmarkStart w:id="34" w:name="_Ref20703"/>
      <w:r>
        <w:rPr>
          <w:rFonts w:hint="eastAsia" w:eastAsia="宋体"/>
          <w:color w:val="auto"/>
          <w:lang w:eastAsia="zh-CN"/>
        </w:rPr>
        <w:drawing>
          <wp:inline distT="0" distB="0" distL="114300" distR="114300">
            <wp:extent cx="7729220" cy="5469255"/>
            <wp:effectExtent l="0" t="0" r="5080" b="4445"/>
            <wp:docPr id="15" name="图片 15" descr="汕头市濠江区永久基本农田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汕头市濠江区永久基本农田保护区分布图"/>
                    <pic:cNvPicPr>
                      <a:picLocks noChangeAspect="1"/>
                    </pic:cNvPicPr>
                  </pic:nvPicPr>
                  <pic:blipFill>
                    <a:blip r:embed="rId19"/>
                    <a:stretch>
                      <a:fillRect/>
                    </a:stretch>
                  </pic:blipFill>
                  <pic:spPr>
                    <a:xfrm>
                      <a:off x="0" y="0"/>
                      <a:ext cx="7729220" cy="5469255"/>
                    </a:xfrm>
                    <a:prstGeom prst="rect">
                      <a:avLst/>
                    </a:prstGeom>
                  </pic:spPr>
                </pic:pic>
              </a:graphicData>
            </a:graphic>
          </wp:inline>
        </w:drawing>
      </w:r>
    </w:p>
    <w:p w14:paraId="596FC5B8">
      <w:pPr>
        <w:pStyle w:val="17"/>
        <w:rPr>
          <w:color w:val="auto"/>
        </w:rPr>
        <w:sectPr>
          <w:pgSz w:w="16838" w:h="11906" w:orient="landscape"/>
          <w:pgMar w:top="1418" w:right="1418" w:bottom="1418" w:left="1418" w:header="720" w:footer="720" w:gutter="0"/>
          <w:pgNumType w:fmt="decimal"/>
          <w:cols w:space="720" w:num="1"/>
        </w:sectPr>
      </w:pPr>
      <w:bookmarkStart w:id="35" w:name="_Ref20884"/>
      <w:r>
        <w:rPr>
          <w:color w:val="auto"/>
        </w:rPr>
        <w:t>图5-</w:t>
      </w:r>
      <w:r>
        <w:rPr>
          <w:color w:val="auto"/>
        </w:rPr>
        <w:fldChar w:fldCharType="begin"/>
      </w:r>
      <w:r>
        <w:rPr>
          <w:color w:val="auto"/>
        </w:rPr>
        <w:instrText xml:space="preserve"> SEQ 图5- \* ARABIC </w:instrText>
      </w:r>
      <w:r>
        <w:rPr>
          <w:color w:val="auto"/>
        </w:rPr>
        <w:fldChar w:fldCharType="separate"/>
      </w:r>
      <w:r>
        <w:rPr>
          <w:color w:val="auto"/>
        </w:rPr>
        <w:t>4</w:t>
      </w:r>
      <w:r>
        <w:rPr>
          <w:color w:val="auto"/>
        </w:rPr>
        <w:fldChar w:fldCharType="end"/>
      </w:r>
      <w:bookmarkEnd w:id="34"/>
      <w:bookmarkEnd w:id="35"/>
      <w:r>
        <w:rPr>
          <w:rFonts w:hint="eastAsia"/>
          <w:color w:val="auto"/>
        </w:rPr>
        <w:t xml:space="preserve">  濠江区永久基本农田保护区禁养区分布图</w:t>
      </w:r>
    </w:p>
    <w:p w14:paraId="3D8FFA6A">
      <w:pPr>
        <w:pStyle w:val="4"/>
        <w:ind w:firstLine="602"/>
        <w:rPr>
          <w:color w:val="auto"/>
        </w:rPr>
      </w:pPr>
      <w:bookmarkStart w:id="36" w:name="_Toc1357"/>
      <w:r>
        <w:rPr>
          <w:rFonts w:hint="eastAsia"/>
          <w:color w:val="auto"/>
        </w:rPr>
        <w:t>5.1.6 禁养区调整小结</w:t>
      </w:r>
      <w:bookmarkEnd w:id="36"/>
    </w:p>
    <w:p w14:paraId="392A1901">
      <w:pPr>
        <w:ind w:firstLine="560"/>
        <w:rPr>
          <w:color w:val="auto"/>
        </w:rPr>
      </w:pPr>
      <w:r>
        <w:rPr>
          <w:rFonts w:hint="eastAsia"/>
          <w:color w:val="auto"/>
        </w:rPr>
        <w:t>本区划</w:t>
      </w:r>
      <w:r>
        <w:rPr>
          <w:color w:val="auto"/>
        </w:rPr>
        <w:t>根据相关法律法规及技术规范，以</w:t>
      </w:r>
      <w:r>
        <w:rPr>
          <w:rFonts w:hint="eastAsia"/>
          <w:color w:val="auto"/>
        </w:rPr>
        <w:t>“</w:t>
      </w:r>
      <w:r>
        <w:rPr>
          <w:color w:val="auto"/>
        </w:rPr>
        <w:t>三区三线</w:t>
      </w:r>
      <w:r>
        <w:rPr>
          <w:rFonts w:hint="eastAsia"/>
          <w:color w:val="auto"/>
        </w:rPr>
        <w:t>”</w:t>
      </w:r>
      <w:r>
        <w:rPr>
          <w:color w:val="auto"/>
        </w:rPr>
        <w:t>成果为基准，</w:t>
      </w:r>
      <w:r>
        <w:rPr>
          <w:rFonts w:hint="eastAsia"/>
          <w:color w:val="auto"/>
        </w:rPr>
        <w:t>结合濠江区实际情况，</w:t>
      </w:r>
      <w:r>
        <w:rPr>
          <w:color w:val="auto"/>
        </w:rPr>
        <w:t>在确保生态环境质量安全的前提下，对</w:t>
      </w:r>
      <w:r>
        <w:rPr>
          <w:rFonts w:hint="eastAsia"/>
          <w:color w:val="auto"/>
        </w:rPr>
        <w:t>濠江区</w:t>
      </w:r>
      <w:r>
        <w:rPr>
          <w:color w:val="auto"/>
        </w:rPr>
        <w:t>原禁养区范围进行了优化调整</w:t>
      </w:r>
      <w:r>
        <w:rPr>
          <w:rFonts w:hint="eastAsia"/>
          <w:color w:val="auto"/>
        </w:rPr>
        <w:t>。</w:t>
      </w:r>
    </w:p>
    <w:p w14:paraId="47725B4C">
      <w:pPr>
        <w:ind w:firstLine="560"/>
        <w:rPr>
          <w:color w:val="auto"/>
        </w:rPr>
      </w:pPr>
      <w:r>
        <w:rPr>
          <w:rFonts w:hint="eastAsia"/>
          <w:color w:val="auto"/>
        </w:rPr>
        <w:t>本次</w:t>
      </w:r>
      <w:r>
        <w:rPr>
          <w:color w:val="auto"/>
        </w:rPr>
        <w:t>涉及划定或调整的禁养区包括：自然保护区禁养区</w:t>
      </w:r>
      <w:r>
        <w:rPr>
          <w:rFonts w:hint="eastAsia"/>
          <w:color w:val="auto"/>
        </w:rPr>
        <w:t>，风景名胜区禁养区，</w:t>
      </w:r>
      <w:r>
        <w:rPr>
          <w:color w:val="auto"/>
        </w:rPr>
        <w:t>城镇居民区、文化教育科学研究区等人口集中区禁养区，陆域生态保护红线禁养区</w:t>
      </w:r>
      <w:r>
        <w:rPr>
          <w:rFonts w:hint="eastAsia"/>
          <w:color w:val="auto"/>
        </w:rPr>
        <w:t>，</w:t>
      </w:r>
      <w:r>
        <w:rPr>
          <w:color w:val="auto"/>
        </w:rPr>
        <w:t>永久基本农田禁养区</w:t>
      </w:r>
      <w:r>
        <w:rPr>
          <w:rFonts w:hint="eastAsia"/>
          <w:color w:val="auto"/>
        </w:rPr>
        <w:t>；由于濠江区内无饮用水水源保护区禁养区，因此不涉及饮用水水源保护区禁养区的划定或调整。</w:t>
      </w:r>
    </w:p>
    <w:p w14:paraId="56ACA40B">
      <w:pPr>
        <w:ind w:firstLine="560"/>
        <w:rPr>
          <w:color w:val="auto"/>
        </w:rPr>
      </w:pPr>
      <w:r>
        <w:rPr>
          <w:rFonts w:hint="eastAsia"/>
          <w:color w:val="auto"/>
        </w:rPr>
        <w:t>本次</w:t>
      </w:r>
      <w:r>
        <w:rPr>
          <w:color w:val="auto"/>
        </w:rPr>
        <w:t>涉及划定或调整</w:t>
      </w:r>
      <w:r>
        <w:rPr>
          <w:rFonts w:hint="eastAsia"/>
          <w:color w:val="auto"/>
        </w:rPr>
        <w:t>的</w:t>
      </w:r>
      <w:r>
        <w:rPr>
          <w:color w:val="auto"/>
        </w:rPr>
        <w:t>畜禽养殖禁养区总面积为</w:t>
      </w:r>
      <w:r>
        <w:rPr>
          <w:rFonts w:hint="eastAsia"/>
          <w:color w:val="auto"/>
        </w:rPr>
        <w:t>97.304</w:t>
      </w:r>
      <w:r>
        <w:rPr>
          <w:color w:val="auto"/>
        </w:rPr>
        <w:t>平方公里，</w:t>
      </w:r>
      <w:r>
        <w:rPr>
          <w:rFonts w:hint="eastAsia"/>
          <w:color w:val="auto"/>
        </w:rPr>
        <w:t>较上次划分增加了12.94平方公里，</w:t>
      </w:r>
      <w:r>
        <w:rPr>
          <w:color w:val="auto"/>
        </w:rPr>
        <w:t>占</w:t>
      </w:r>
      <w:r>
        <w:rPr>
          <w:rFonts w:hint="eastAsia"/>
          <w:color w:val="auto"/>
        </w:rPr>
        <w:t>濠江</w:t>
      </w:r>
      <w:r>
        <w:rPr>
          <w:color w:val="auto"/>
        </w:rPr>
        <w:t>区行政区面积（169.59平方公里）的</w:t>
      </w:r>
      <w:r>
        <w:rPr>
          <w:rFonts w:hint="eastAsia"/>
          <w:color w:val="auto"/>
        </w:rPr>
        <w:t>57.37</w:t>
      </w:r>
      <w:r>
        <w:rPr>
          <w:color w:val="auto"/>
        </w:rPr>
        <w:t>%。其中禁止建设养殖区域面积为</w:t>
      </w:r>
      <w:r>
        <w:rPr>
          <w:rFonts w:hint="eastAsia"/>
          <w:color w:val="auto"/>
        </w:rPr>
        <w:t>90.715</w:t>
      </w:r>
      <w:r>
        <w:rPr>
          <w:color w:val="auto"/>
        </w:rPr>
        <w:t>平方公里</w:t>
      </w:r>
      <w:r>
        <w:rPr>
          <w:rFonts w:hint="eastAsia"/>
          <w:color w:val="auto"/>
        </w:rPr>
        <w:t>（扣除风景名胜区核心景区和陆域生态保护红线0.224平方公里的重叠面积）</w:t>
      </w:r>
      <w:r>
        <w:rPr>
          <w:color w:val="auto"/>
        </w:rPr>
        <w:t>，禁止建设有污染物排放的养殖场区域面积为</w:t>
      </w:r>
      <w:r>
        <w:rPr>
          <w:rFonts w:hint="eastAsia"/>
          <w:color w:val="auto"/>
        </w:rPr>
        <w:t>6.589</w:t>
      </w:r>
      <w:r>
        <w:rPr>
          <w:color w:val="auto"/>
        </w:rPr>
        <w:t>平方公里</w:t>
      </w:r>
      <w:r>
        <w:rPr>
          <w:rFonts w:hint="eastAsia"/>
          <w:color w:val="auto"/>
        </w:rPr>
        <w:t>（扣除风景区一般景区与城镇开发边界0.911平方公里重叠的面积，重叠部分归类为“</w:t>
      </w:r>
      <w:r>
        <w:rPr>
          <w:color w:val="auto"/>
        </w:rPr>
        <w:t>禁止建设养殖区域</w:t>
      </w:r>
      <w:r>
        <w:rPr>
          <w:rFonts w:hint="eastAsia"/>
          <w:color w:val="auto"/>
        </w:rPr>
        <w:t>”）</w:t>
      </w:r>
      <w:r>
        <w:rPr>
          <w:color w:val="auto"/>
        </w:rPr>
        <w:t>。</w:t>
      </w:r>
    </w:p>
    <w:p w14:paraId="74590C19">
      <w:pPr>
        <w:rPr>
          <w:color w:val="auto"/>
        </w:rPr>
      </w:pPr>
      <w:r>
        <w:rPr>
          <w:rFonts w:hint="eastAsia"/>
          <w:color w:val="auto"/>
        </w:rPr>
        <w:t>濠江</w:t>
      </w:r>
      <w:r>
        <w:rPr>
          <w:color w:val="auto"/>
        </w:rPr>
        <w:t>区禁养区优化调整情况汇总见</w:t>
      </w:r>
      <w:r>
        <w:rPr>
          <w:color w:val="auto"/>
        </w:rPr>
        <w:fldChar w:fldCharType="begin"/>
      </w:r>
      <w:r>
        <w:rPr>
          <w:color w:val="auto"/>
        </w:rPr>
        <w:instrText xml:space="preserve"> REF _Ref21026 \h  \* MERGEFORMAT </w:instrText>
      </w:r>
      <w:r>
        <w:rPr>
          <w:color w:val="auto"/>
        </w:rPr>
        <w:fldChar w:fldCharType="separate"/>
      </w:r>
      <w:r>
        <w:rPr>
          <w:color w:val="auto"/>
        </w:rPr>
        <w:t>表5-1</w:t>
      </w:r>
      <w:r>
        <w:rPr>
          <w:color w:val="auto"/>
        </w:rPr>
        <w:fldChar w:fldCharType="end"/>
      </w:r>
      <w:r>
        <w:rPr>
          <w:color w:val="auto"/>
        </w:rPr>
        <w:t>，禁养区分布情况见</w:t>
      </w:r>
      <w:r>
        <w:rPr>
          <w:color w:val="auto"/>
        </w:rPr>
        <w:fldChar w:fldCharType="begin"/>
      </w:r>
      <w:r>
        <w:rPr>
          <w:color w:val="auto"/>
        </w:rPr>
        <w:instrText xml:space="preserve"> REF _Ref21692 \h  \* MERGEFORMAT </w:instrText>
      </w:r>
      <w:r>
        <w:rPr>
          <w:color w:val="auto"/>
        </w:rPr>
        <w:fldChar w:fldCharType="separate"/>
      </w:r>
      <w:r>
        <w:rPr>
          <w:color w:val="auto"/>
        </w:rPr>
        <w:t>图5-5</w:t>
      </w:r>
      <w:r>
        <w:rPr>
          <w:color w:val="auto"/>
        </w:rPr>
        <w:fldChar w:fldCharType="end"/>
      </w:r>
      <w:r>
        <w:rPr>
          <w:color w:val="auto"/>
        </w:rPr>
        <w:t>。</w:t>
      </w:r>
    </w:p>
    <w:p w14:paraId="53953A48">
      <w:pPr>
        <w:pStyle w:val="17"/>
        <w:rPr>
          <w:color w:val="auto"/>
        </w:rPr>
      </w:pPr>
      <w:bookmarkStart w:id="37" w:name="_Ref21026"/>
      <w:r>
        <w:rPr>
          <w:color w:val="auto"/>
        </w:rPr>
        <w:t>表5-</w:t>
      </w:r>
      <w:r>
        <w:rPr>
          <w:color w:val="auto"/>
        </w:rPr>
        <w:fldChar w:fldCharType="begin"/>
      </w:r>
      <w:r>
        <w:rPr>
          <w:color w:val="auto"/>
        </w:rPr>
        <w:instrText xml:space="preserve"> SEQ 表5- \* ARABIC </w:instrText>
      </w:r>
      <w:r>
        <w:rPr>
          <w:color w:val="auto"/>
        </w:rPr>
        <w:fldChar w:fldCharType="separate"/>
      </w:r>
      <w:r>
        <w:rPr>
          <w:color w:val="auto"/>
        </w:rPr>
        <w:t>1</w:t>
      </w:r>
      <w:r>
        <w:rPr>
          <w:color w:val="auto"/>
        </w:rPr>
        <w:fldChar w:fldCharType="end"/>
      </w:r>
      <w:bookmarkEnd w:id="37"/>
      <w:r>
        <w:rPr>
          <w:color w:val="auto"/>
        </w:rPr>
        <w:t xml:space="preserve">  </w:t>
      </w:r>
      <w:r>
        <w:rPr>
          <w:rFonts w:hint="eastAsia"/>
          <w:color w:val="auto"/>
        </w:rPr>
        <w:t>濠江区畜禽养殖禁养区区划优化调整情况一览表</w:t>
      </w:r>
    </w:p>
    <w:tbl>
      <w:tblPr>
        <w:tblStyle w:val="15"/>
        <w:tblW w:w="50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98"/>
        <w:gridCol w:w="2651"/>
        <w:gridCol w:w="1580"/>
        <w:gridCol w:w="1582"/>
        <w:gridCol w:w="1056"/>
        <w:gridCol w:w="1980"/>
      </w:tblGrid>
      <w:tr w14:paraId="02C0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blHeader/>
          <w:jc w:val="center"/>
        </w:trPr>
        <w:tc>
          <w:tcPr>
            <w:tcW w:w="215" w:type="pct"/>
            <w:vAlign w:val="center"/>
          </w:tcPr>
          <w:p w14:paraId="5C063518">
            <w:pPr>
              <w:pStyle w:val="17"/>
              <w:rPr>
                <w:b w:val="0"/>
                <w:color w:val="auto"/>
              </w:rPr>
            </w:pPr>
            <w:r>
              <w:rPr>
                <w:b w:val="0"/>
                <w:color w:val="auto"/>
              </w:rPr>
              <w:t>序号</w:t>
            </w:r>
          </w:p>
        </w:tc>
        <w:tc>
          <w:tcPr>
            <w:tcW w:w="1432" w:type="pct"/>
            <w:vAlign w:val="center"/>
          </w:tcPr>
          <w:p w14:paraId="51D11F66">
            <w:pPr>
              <w:pStyle w:val="17"/>
              <w:rPr>
                <w:b w:val="0"/>
                <w:color w:val="auto"/>
              </w:rPr>
            </w:pPr>
            <w:r>
              <w:rPr>
                <w:b w:val="0"/>
                <w:color w:val="auto"/>
              </w:rPr>
              <w:t>禁养区区域类型</w:t>
            </w:r>
          </w:p>
        </w:tc>
        <w:tc>
          <w:tcPr>
            <w:tcW w:w="854" w:type="pct"/>
            <w:vAlign w:val="center"/>
          </w:tcPr>
          <w:p w14:paraId="45C655FB">
            <w:pPr>
              <w:pStyle w:val="17"/>
              <w:rPr>
                <w:b w:val="0"/>
                <w:color w:val="auto"/>
              </w:rPr>
            </w:pPr>
            <w:r>
              <w:rPr>
                <w:b w:val="0"/>
                <w:color w:val="auto"/>
                <w:spacing w:val="-4"/>
              </w:rPr>
              <w:t>2020年划定禁养</w:t>
            </w:r>
            <w:r>
              <w:rPr>
                <w:b w:val="0"/>
                <w:color w:val="auto"/>
                <w:spacing w:val="-20"/>
              </w:rPr>
              <w:t>区面积</w:t>
            </w:r>
            <w:r>
              <w:rPr>
                <w:b w:val="0"/>
                <w:color w:val="auto"/>
              </w:rPr>
              <w:t>（km</w:t>
            </w:r>
            <w:r>
              <w:rPr>
                <w:b w:val="0"/>
                <w:color w:val="auto"/>
                <w:vertAlign w:val="superscript"/>
              </w:rPr>
              <w:t>2</w:t>
            </w:r>
            <w:r>
              <w:rPr>
                <w:b w:val="0"/>
                <w:color w:val="auto"/>
              </w:rPr>
              <w:t>）</w:t>
            </w:r>
          </w:p>
        </w:tc>
        <w:tc>
          <w:tcPr>
            <w:tcW w:w="855" w:type="pct"/>
            <w:vAlign w:val="center"/>
          </w:tcPr>
          <w:p w14:paraId="32A5692B">
            <w:pPr>
              <w:pStyle w:val="17"/>
              <w:rPr>
                <w:b w:val="0"/>
                <w:color w:val="auto"/>
              </w:rPr>
            </w:pPr>
            <w:r>
              <w:rPr>
                <w:rFonts w:hint="eastAsia"/>
                <w:b w:val="0"/>
                <w:color w:val="auto"/>
              </w:rPr>
              <w:t>新调整</w:t>
            </w:r>
            <w:r>
              <w:rPr>
                <w:b w:val="0"/>
                <w:color w:val="auto"/>
              </w:rPr>
              <w:t>划定禁养区面积（km</w:t>
            </w:r>
            <w:r>
              <w:rPr>
                <w:b w:val="0"/>
                <w:color w:val="auto"/>
                <w:vertAlign w:val="superscript"/>
              </w:rPr>
              <w:t>2</w:t>
            </w:r>
            <w:r>
              <w:rPr>
                <w:b w:val="0"/>
                <w:color w:val="auto"/>
              </w:rPr>
              <w:t>）</w:t>
            </w:r>
          </w:p>
        </w:tc>
        <w:tc>
          <w:tcPr>
            <w:tcW w:w="571" w:type="pct"/>
            <w:vAlign w:val="center"/>
          </w:tcPr>
          <w:p w14:paraId="43508199">
            <w:pPr>
              <w:pStyle w:val="17"/>
              <w:rPr>
                <w:b w:val="0"/>
                <w:color w:val="auto"/>
              </w:rPr>
            </w:pPr>
            <w:r>
              <w:rPr>
                <w:b w:val="0"/>
                <w:color w:val="auto"/>
              </w:rPr>
              <w:t>面积变化</w:t>
            </w:r>
          </w:p>
          <w:p w14:paraId="1D338AA1">
            <w:pPr>
              <w:pStyle w:val="17"/>
              <w:rPr>
                <w:b w:val="0"/>
                <w:color w:val="auto"/>
              </w:rPr>
            </w:pPr>
            <w:r>
              <w:rPr>
                <w:b w:val="0"/>
                <w:color w:val="auto"/>
              </w:rPr>
              <w:t>（km</w:t>
            </w:r>
            <w:r>
              <w:rPr>
                <w:b w:val="0"/>
                <w:color w:val="auto"/>
                <w:vertAlign w:val="superscript"/>
              </w:rPr>
              <w:t>2</w:t>
            </w:r>
            <w:r>
              <w:rPr>
                <w:b w:val="0"/>
                <w:color w:val="auto"/>
              </w:rPr>
              <w:t>）</w:t>
            </w:r>
          </w:p>
        </w:tc>
        <w:tc>
          <w:tcPr>
            <w:tcW w:w="1070" w:type="pct"/>
            <w:vAlign w:val="center"/>
          </w:tcPr>
          <w:p w14:paraId="5550D5C1">
            <w:pPr>
              <w:pStyle w:val="17"/>
              <w:rPr>
                <w:b w:val="0"/>
                <w:color w:val="auto"/>
              </w:rPr>
            </w:pPr>
            <w:r>
              <w:rPr>
                <w:b w:val="0"/>
                <w:color w:val="auto"/>
              </w:rPr>
              <w:t>备注</w:t>
            </w:r>
          </w:p>
        </w:tc>
      </w:tr>
      <w:tr w14:paraId="115FA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Align w:val="center"/>
          </w:tcPr>
          <w:p w14:paraId="7CEEB9C1">
            <w:pPr>
              <w:pStyle w:val="17"/>
              <w:rPr>
                <w:b w:val="0"/>
                <w:color w:val="auto"/>
                <w:spacing w:val="-3"/>
              </w:rPr>
            </w:pPr>
            <w:r>
              <w:rPr>
                <w:b w:val="0"/>
                <w:color w:val="auto"/>
                <w:spacing w:val="-3"/>
              </w:rPr>
              <w:t>A</w:t>
            </w:r>
          </w:p>
        </w:tc>
        <w:tc>
          <w:tcPr>
            <w:tcW w:w="1432" w:type="pct"/>
            <w:vAlign w:val="center"/>
          </w:tcPr>
          <w:p w14:paraId="0676FA02">
            <w:pPr>
              <w:pStyle w:val="17"/>
              <w:rPr>
                <w:b w:val="0"/>
                <w:color w:val="auto"/>
                <w:spacing w:val="-9"/>
              </w:rPr>
            </w:pPr>
            <w:r>
              <w:rPr>
                <w:b w:val="0"/>
                <w:color w:val="auto"/>
                <w:spacing w:val="-9"/>
              </w:rPr>
              <w:t>自然保护区与</w:t>
            </w:r>
            <w:r>
              <w:rPr>
                <w:b w:val="0"/>
                <w:color w:val="auto"/>
                <w:spacing w:val="-3"/>
              </w:rPr>
              <w:t>风景名胜区</w:t>
            </w:r>
          </w:p>
        </w:tc>
        <w:tc>
          <w:tcPr>
            <w:tcW w:w="854" w:type="pct"/>
            <w:vAlign w:val="center"/>
          </w:tcPr>
          <w:p w14:paraId="20315A08">
            <w:pPr>
              <w:pStyle w:val="17"/>
              <w:rPr>
                <w:b w:val="0"/>
                <w:color w:val="auto"/>
                <w:spacing w:val="-9"/>
              </w:rPr>
            </w:pPr>
            <w:r>
              <w:rPr>
                <w:b w:val="0"/>
                <w:color w:val="auto"/>
              </w:rPr>
              <w:t>13.694</w:t>
            </w:r>
          </w:p>
        </w:tc>
        <w:tc>
          <w:tcPr>
            <w:tcW w:w="855" w:type="pct"/>
            <w:vAlign w:val="center"/>
          </w:tcPr>
          <w:p w14:paraId="170A8627">
            <w:pPr>
              <w:pStyle w:val="17"/>
              <w:rPr>
                <w:b w:val="0"/>
                <w:color w:val="auto"/>
              </w:rPr>
            </w:pPr>
            <w:r>
              <w:rPr>
                <w:b w:val="0"/>
                <w:color w:val="auto"/>
              </w:rPr>
              <w:t>9.57</w:t>
            </w:r>
            <w:r>
              <w:rPr>
                <w:rFonts w:hint="eastAsia"/>
                <w:b w:val="0"/>
                <w:color w:val="auto"/>
              </w:rPr>
              <w:t>5</w:t>
            </w:r>
          </w:p>
        </w:tc>
        <w:tc>
          <w:tcPr>
            <w:tcW w:w="571" w:type="pct"/>
            <w:vAlign w:val="center"/>
          </w:tcPr>
          <w:p w14:paraId="4250613F">
            <w:pPr>
              <w:pStyle w:val="17"/>
              <w:rPr>
                <w:b w:val="0"/>
                <w:color w:val="auto"/>
              </w:rPr>
            </w:pPr>
            <w:r>
              <w:rPr>
                <w:rFonts w:hint="eastAsia"/>
                <w:b w:val="0"/>
                <w:color w:val="auto"/>
              </w:rPr>
              <w:t>-4.119</w:t>
            </w:r>
          </w:p>
        </w:tc>
        <w:tc>
          <w:tcPr>
            <w:tcW w:w="1070" w:type="pct"/>
            <w:vAlign w:val="center"/>
          </w:tcPr>
          <w:p w14:paraId="1E622A98">
            <w:pPr>
              <w:pStyle w:val="17"/>
              <w:rPr>
                <w:b w:val="0"/>
                <w:color w:val="auto"/>
              </w:rPr>
            </w:pPr>
          </w:p>
        </w:tc>
      </w:tr>
      <w:tr w14:paraId="2DC3C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Align w:val="center"/>
          </w:tcPr>
          <w:p w14:paraId="0ABC72D6">
            <w:pPr>
              <w:pStyle w:val="17"/>
              <w:rPr>
                <w:b w:val="0"/>
                <w:color w:val="auto"/>
                <w:spacing w:val="-3"/>
              </w:rPr>
            </w:pPr>
            <w:r>
              <w:rPr>
                <w:b w:val="0"/>
                <w:color w:val="auto"/>
                <w:spacing w:val="-3"/>
              </w:rPr>
              <w:t>B</w:t>
            </w:r>
          </w:p>
        </w:tc>
        <w:tc>
          <w:tcPr>
            <w:tcW w:w="1432" w:type="pct"/>
            <w:vAlign w:val="center"/>
          </w:tcPr>
          <w:p w14:paraId="1FF683E1">
            <w:pPr>
              <w:pStyle w:val="17"/>
              <w:rPr>
                <w:b w:val="0"/>
                <w:color w:val="auto"/>
              </w:rPr>
            </w:pPr>
            <w:r>
              <w:rPr>
                <w:b w:val="0"/>
                <w:color w:val="auto"/>
                <w:spacing w:val="-3"/>
              </w:rPr>
              <w:t>城镇人口集中区</w:t>
            </w:r>
          </w:p>
        </w:tc>
        <w:tc>
          <w:tcPr>
            <w:tcW w:w="854" w:type="pct"/>
            <w:vAlign w:val="center"/>
          </w:tcPr>
          <w:p w14:paraId="2B7563E8">
            <w:pPr>
              <w:pStyle w:val="17"/>
              <w:rPr>
                <w:b w:val="0"/>
                <w:color w:val="auto"/>
              </w:rPr>
            </w:pPr>
            <w:r>
              <w:rPr>
                <w:b w:val="0"/>
                <w:color w:val="auto"/>
              </w:rPr>
              <w:t>57.99</w:t>
            </w:r>
          </w:p>
        </w:tc>
        <w:tc>
          <w:tcPr>
            <w:tcW w:w="855" w:type="pct"/>
            <w:vAlign w:val="center"/>
          </w:tcPr>
          <w:p w14:paraId="182D3B50">
            <w:pPr>
              <w:pStyle w:val="17"/>
              <w:rPr>
                <w:b w:val="0"/>
                <w:color w:val="auto"/>
              </w:rPr>
            </w:pPr>
            <w:r>
              <w:rPr>
                <w:b w:val="0"/>
                <w:color w:val="auto"/>
              </w:rPr>
              <w:t>74.482</w:t>
            </w:r>
          </w:p>
        </w:tc>
        <w:tc>
          <w:tcPr>
            <w:tcW w:w="571" w:type="pct"/>
            <w:shd w:val="clear" w:color="auto" w:fill="auto"/>
            <w:vAlign w:val="center"/>
          </w:tcPr>
          <w:p w14:paraId="5C520C31">
            <w:pPr>
              <w:pStyle w:val="17"/>
              <w:rPr>
                <w:b w:val="0"/>
                <w:color w:val="auto"/>
              </w:rPr>
            </w:pPr>
            <w:r>
              <w:rPr>
                <w:b w:val="0"/>
                <w:color w:val="auto"/>
              </w:rPr>
              <w:t>+16.492</w:t>
            </w:r>
          </w:p>
        </w:tc>
        <w:tc>
          <w:tcPr>
            <w:tcW w:w="1070" w:type="pct"/>
            <w:shd w:val="clear" w:color="auto" w:fill="auto"/>
            <w:vAlign w:val="center"/>
          </w:tcPr>
          <w:p w14:paraId="7B4BAE53">
            <w:pPr>
              <w:pStyle w:val="17"/>
              <w:rPr>
                <w:b w:val="0"/>
                <w:color w:val="auto"/>
              </w:rPr>
            </w:pPr>
          </w:p>
        </w:tc>
      </w:tr>
      <w:tr w14:paraId="13F2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Align w:val="center"/>
          </w:tcPr>
          <w:p w14:paraId="2D51D119">
            <w:pPr>
              <w:pStyle w:val="17"/>
              <w:rPr>
                <w:b w:val="0"/>
                <w:color w:val="auto"/>
                <w:spacing w:val="-3"/>
              </w:rPr>
            </w:pPr>
            <w:r>
              <w:rPr>
                <w:b w:val="0"/>
                <w:color w:val="auto"/>
                <w:spacing w:val="-3"/>
              </w:rPr>
              <w:t>C</w:t>
            </w:r>
          </w:p>
        </w:tc>
        <w:tc>
          <w:tcPr>
            <w:tcW w:w="1432" w:type="pct"/>
            <w:vAlign w:val="center"/>
          </w:tcPr>
          <w:p w14:paraId="4F19D02B">
            <w:pPr>
              <w:pStyle w:val="17"/>
              <w:rPr>
                <w:b w:val="0"/>
                <w:color w:val="auto"/>
              </w:rPr>
            </w:pPr>
            <w:r>
              <w:rPr>
                <w:b w:val="0"/>
                <w:color w:val="auto"/>
                <w:spacing w:val="-5"/>
              </w:rPr>
              <w:t>陆域生态保护红</w:t>
            </w:r>
            <w:r>
              <w:rPr>
                <w:b w:val="0"/>
                <w:color w:val="auto"/>
              </w:rPr>
              <w:t>线</w:t>
            </w:r>
          </w:p>
        </w:tc>
        <w:tc>
          <w:tcPr>
            <w:tcW w:w="854" w:type="pct"/>
            <w:vAlign w:val="center"/>
          </w:tcPr>
          <w:p w14:paraId="34FA6DE1">
            <w:pPr>
              <w:pStyle w:val="17"/>
              <w:rPr>
                <w:b w:val="0"/>
                <w:color w:val="auto"/>
              </w:rPr>
            </w:pPr>
            <w:r>
              <w:rPr>
                <w:b w:val="0"/>
                <w:color w:val="auto"/>
              </w:rPr>
              <w:t>0</w:t>
            </w:r>
          </w:p>
        </w:tc>
        <w:tc>
          <w:tcPr>
            <w:tcW w:w="855" w:type="pct"/>
            <w:vAlign w:val="center"/>
          </w:tcPr>
          <w:p w14:paraId="0E3F8D14">
            <w:pPr>
              <w:pStyle w:val="17"/>
              <w:rPr>
                <w:b w:val="0"/>
                <w:color w:val="auto"/>
              </w:rPr>
            </w:pPr>
            <w:r>
              <w:rPr>
                <w:b w:val="0"/>
                <w:color w:val="auto"/>
              </w:rPr>
              <w:t>3.383</w:t>
            </w:r>
          </w:p>
        </w:tc>
        <w:tc>
          <w:tcPr>
            <w:tcW w:w="571" w:type="pct"/>
            <w:vAlign w:val="center"/>
          </w:tcPr>
          <w:p w14:paraId="2BB9DA56">
            <w:pPr>
              <w:pStyle w:val="17"/>
              <w:rPr>
                <w:b w:val="0"/>
                <w:color w:val="auto"/>
              </w:rPr>
            </w:pPr>
            <w:r>
              <w:rPr>
                <w:b w:val="0"/>
                <w:color w:val="auto"/>
              </w:rPr>
              <w:t>+3.383</w:t>
            </w:r>
          </w:p>
        </w:tc>
        <w:tc>
          <w:tcPr>
            <w:tcW w:w="1070" w:type="pct"/>
            <w:vAlign w:val="center"/>
          </w:tcPr>
          <w:p w14:paraId="5BA6672E">
            <w:pPr>
              <w:pStyle w:val="17"/>
              <w:rPr>
                <w:b w:val="0"/>
                <w:color w:val="auto"/>
              </w:rPr>
            </w:pPr>
          </w:p>
        </w:tc>
      </w:tr>
      <w:tr w14:paraId="3F644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Align w:val="center"/>
          </w:tcPr>
          <w:p w14:paraId="71DD99AE">
            <w:pPr>
              <w:pStyle w:val="17"/>
              <w:rPr>
                <w:b w:val="0"/>
                <w:color w:val="auto"/>
                <w:spacing w:val="-3"/>
              </w:rPr>
            </w:pPr>
            <w:r>
              <w:rPr>
                <w:b w:val="0"/>
                <w:color w:val="auto"/>
                <w:spacing w:val="-3"/>
              </w:rPr>
              <w:t>D</w:t>
            </w:r>
          </w:p>
        </w:tc>
        <w:tc>
          <w:tcPr>
            <w:tcW w:w="1432" w:type="pct"/>
            <w:vAlign w:val="center"/>
          </w:tcPr>
          <w:p w14:paraId="6B72A985">
            <w:pPr>
              <w:pStyle w:val="17"/>
              <w:rPr>
                <w:b w:val="0"/>
                <w:color w:val="auto"/>
              </w:rPr>
            </w:pPr>
            <w:r>
              <w:rPr>
                <w:b w:val="0"/>
                <w:color w:val="auto"/>
                <w:spacing w:val="-3"/>
              </w:rPr>
              <w:t>永久基本农田保</w:t>
            </w:r>
            <w:r>
              <w:rPr>
                <w:b w:val="0"/>
                <w:color w:val="auto"/>
                <w:spacing w:val="-8"/>
              </w:rPr>
              <w:t>护区</w:t>
            </w:r>
          </w:p>
        </w:tc>
        <w:tc>
          <w:tcPr>
            <w:tcW w:w="854" w:type="pct"/>
            <w:vAlign w:val="center"/>
          </w:tcPr>
          <w:p w14:paraId="5B7971B6">
            <w:pPr>
              <w:pStyle w:val="17"/>
              <w:rPr>
                <w:b w:val="0"/>
                <w:color w:val="auto"/>
              </w:rPr>
            </w:pPr>
            <w:r>
              <w:rPr>
                <w:b w:val="0"/>
                <w:color w:val="auto"/>
              </w:rPr>
              <w:t>12.68</w:t>
            </w:r>
          </w:p>
        </w:tc>
        <w:tc>
          <w:tcPr>
            <w:tcW w:w="855" w:type="pct"/>
            <w:vAlign w:val="center"/>
          </w:tcPr>
          <w:p w14:paraId="2DD59D20">
            <w:pPr>
              <w:pStyle w:val="17"/>
              <w:rPr>
                <w:b w:val="0"/>
                <w:color w:val="auto"/>
              </w:rPr>
            </w:pPr>
            <w:r>
              <w:rPr>
                <w:b w:val="0"/>
                <w:color w:val="auto"/>
              </w:rPr>
              <w:t>11.00</w:t>
            </w:r>
          </w:p>
        </w:tc>
        <w:tc>
          <w:tcPr>
            <w:tcW w:w="571" w:type="pct"/>
            <w:vAlign w:val="center"/>
          </w:tcPr>
          <w:p w14:paraId="4B9A7E26">
            <w:pPr>
              <w:pStyle w:val="17"/>
              <w:rPr>
                <w:b w:val="0"/>
                <w:color w:val="auto"/>
              </w:rPr>
            </w:pPr>
            <w:r>
              <w:rPr>
                <w:b w:val="0"/>
                <w:color w:val="auto"/>
              </w:rPr>
              <w:t>-1.68</w:t>
            </w:r>
          </w:p>
        </w:tc>
        <w:tc>
          <w:tcPr>
            <w:tcW w:w="1070" w:type="pct"/>
            <w:vAlign w:val="center"/>
          </w:tcPr>
          <w:p w14:paraId="05AF9CEB">
            <w:pPr>
              <w:pStyle w:val="17"/>
              <w:rPr>
                <w:b w:val="0"/>
                <w:color w:val="auto"/>
              </w:rPr>
            </w:pPr>
          </w:p>
        </w:tc>
      </w:tr>
      <w:tr w14:paraId="7EE31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Merge w:val="restart"/>
            <w:vAlign w:val="center"/>
          </w:tcPr>
          <w:p w14:paraId="2EAC46CE">
            <w:pPr>
              <w:pStyle w:val="17"/>
              <w:rPr>
                <w:b w:val="0"/>
                <w:color w:val="auto"/>
                <w:spacing w:val="-3"/>
              </w:rPr>
            </w:pPr>
            <w:r>
              <w:rPr>
                <w:b w:val="0"/>
                <w:color w:val="auto"/>
                <w:spacing w:val="-3"/>
              </w:rPr>
              <w:t>E</w:t>
            </w:r>
          </w:p>
        </w:tc>
        <w:tc>
          <w:tcPr>
            <w:tcW w:w="1432" w:type="pct"/>
            <w:vMerge w:val="restart"/>
            <w:vAlign w:val="center"/>
          </w:tcPr>
          <w:p w14:paraId="0F96FCB3">
            <w:pPr>
              <w:pStyle w:val="17"/>
              <w:rPr>
                <w:b w:val="0"/>
                <w:color w:val="auto"/>
              </w:rPr>
            </w:pPr>
            <w:r>
              <w:rPr>
                <w:b w:val="0"/>
                <w:color w:val="auto"/>
              </w:rPr>
              <w:t>重叠部分</w:t>
            </w:r>
          </w:p>
        </w:tc>
        <w:tc>
          <w:tcPr>
            <w:tcW w:w="854" w:type="pct"/>
            <w:vAlign w:val="center"/>
          </w:tcPr>
          <w:p w14:paraId="3CF46F23">
            <w:pPr>
              <w:pStyle w:val="17"/>
              <w:rPr>
                <w:b w:val="0"/>
                <w:color w:val="auto"/>
              </w:rPr>
            </w:pPr>
            <w:r>
              <w:rPr>
                <w:b w:val="0"/>
                <w:color w:val="auto"/>
              </w:rPr>
              <w:t>0</w:t>
            </w:r>
          </w:p>
        </w:tc>
        <w:tc>
          <w:tcPr>
            <w:tcW w:w="855" w:type="pct"/>
            <w:vAlign w:val="center"/>
          </w:tcPr>
          <w:p w14:paraId="6B31D40C">
            <w:pPr>
              <w:pStyle w:val="17"/>
              <w:rPr>
                <w:b w:val="0"/>
                <w:color w:val="auto"/>
              </w:rPr>
            </w:pPr>
            <w:r>
              <w:rPr>
                <w:b w:val="0"/>
                <w:color w:val="auto"/>
              </w:rPr>
              <w:t>0.224</w:t>
            </w:r>
          </w:p>
        </w:tc>
        <w:tc>
          <w:tcPr>
            <w:tcW w:w="571" w:type="pct"/>
            <w:shd w:val="clear" w:color="auto" w:fill="auto"/>
            <w:vAlign w:val="center"/>
          </w:tcPr>
          <w:p w14:paraId="12209920">
            <w:pPr>
              <w:pStyle w:val="17"/>
              <w:rPr>
                <w:b w:val="0"/>
                <w:color w:val="auto"/>
              </w:rPr>
            </w:pPr>
            <w:r>
              <w:rPr>
                <w:rFonts w:hint="eastAsia"/>
                <w:b w:val="0"/>
                <w:color w:val="auto"/>
              </w:rPr>
              <w:t>+</w:t>
            </w:r>
            <w:r>
              <w:rPr>
                <w:b w:val="0"/>
                <w:color w:val="auto"/>
              </w:rPr>
              <w:t>0.224</w:t>
            </w:r>
          </w:p>
        </w:tc>
        <w:tc>
          <w:tcPr>
            <w:tcW w:w="1070" w:type="pct"/>
            <w:shd w:val="clear" w:color="auto" w:fill="auto"/>
            <w:vAlign w:val="center"/>
          </w:tcPr>
          <w:p w14:paraId="10330BD8">
            <w:pPr>
              <w:pStyle w:val="17"/>
              <w:rPr>
                <w:b w:val="0"/>
                <w:color w:val="auto"/>
              </w:rPr>
            </w:pPr>
            <w:r>
              <w:rPr>
                <w:rFonts w:hint="eastAsia"/>
                <w:b w:val="0"/>
                <w:color w:val="auto"/>
                <w:spacing w:val="-9"/>
              </w:rPr>
              <w:t>风景区核心景区</w:t>
            </w:r>
            <w:r>
              <w:rPr>
                <w:rFonts w:hint="eastAsia"/>
                <w:b w:val="0"/>
                <w:color w:val="auto"/>
                <w:spacing w:val="-3"/>
              </w:rPr>
              <w:t>和</w:t>
            </w:r>
            <w:r>
              <w:rPr>
                <w:b w:val="0"/>
                <w:color w:val="auto"/>
                <w:spacing w:val="-3"/>
              </w:rPr>
              <w:t>陆域生态保护红线存在重叠</w:t>
            </w:r>
          </w:p>
        </w:tc>
      </w:tr>
      <w:tr w14:paraId="3A19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5" w:type="pct"/>
            <w:vMerge w:val="continue"/>
            <w:vAlign w:val="center"/>
          </w:tcPr>
          <w:p w14:paraId="4D08B76C">
            <w:pPr>
              <w:pStyle w:val="17"/>
              <w:rPr>
                <w:b w:val="0"/>
                <w:color w:val="auto"/>
                <w:spacing w:val="-3"/>
              </w:rPr>
            </w:pPr>
          </w:p>
        </w:tc>
        <w:tc>
          <w:tcPr>
            <w:tcW w:w="1432" w:type="pct"/>
            <w:vMerge w:val="continue"/>
            <w:vAlign w:val="center"/>
          </w:tcPr>
          <w:p w14:paraId="7069C993">
            <w:pPr>
              <w:pStyle w:val="17"/>
              <w:rPr>
                <w:b w:val="0"/>
                <w:color w:val="auto"/>
              </w:rPr>
            </w:pPr>
          </w:p>
        </w:tc>
        <w:tc>
          <w:tcPr>
            <w:tcW w:w="854" w:type="pct"/>
            <w:vAlign w:val="center"/>
          </w:tcPr>
          <w:p w14:paraId="001A9A7D">
            <w:pPr>
              <w:pStyle w:val="17"/>
              <w:rPr>
                <w:b w:val="0"/>
                <w:color w:val="auto"/>
              </w:rPr>
            </w:pPr>
            <w:r>
              <w:rPr>
                <w:rFonts w:hint="eastAsia"/>
                <w:b w:val="0"/>
                <w:color w:val="auto"/>
              </w:rPr>
              <w:t>0</w:t>
            </w:r>
          </w:p>
        </w:tc>
        <w:tc>
          <w:tcPr>
            <w:tcW w:w="855" w:type="pct"/>
            <w:vAlign w:val="center"/>
          </w:tcPr>
          <w:p w14:paraId="0E0EAC78">
            <w:pPr>
              <w:pStyle w:val="17"/>
              <w:rPr>
                <w:b w:val="0"/>
                <w:color w:val="auto"/>
              </w:rPr>
            </w:pPr>
            <w:r>
              <w:rPr>
                <w:rFonts w:hint="eastAsia"/>
                <w:b w:val="0"/>
                <w:color w:val="auto"/>
              </w:rPr>
              <w:t>0.911</w:t>
            </w:r>
          </w:p>
        </w:tc>
        <w:tc>
          <w:tcPr>
            <w:tcW w:w="571" w:type="pct"/>
            <w:shd w:val="clear" w:color="auto" w:fill="auto"/>
            <w:vAlign w:val="center"/>
          </w:tcPr>
          <w:p w14:paraId="13FAAE18">
            <w:pPr>
              <w:pStyle w:val="17"/>
              <w:rPr>
                <w:b w:val="0"/>
                <w:color w:val="auto"/>
              </w:rPr>
            </w:pPr>
            <w:r>
              <w:rPr>
                <w:rFonts w:hint="eastAsia"/>
                <w:b w:val="0"/>
                <w:color w:val="auto"/>
              </w:rPr>
              <w:t>+0.911</w:t>
            </w:r>
          </w:p>
        </w:tc>
        <w:tc>
          <w:tcPr>
            <w:tcW w:w="1070" w:type="pct"/>
            <w:shd w:val="clear" w:color="auto" w:fill="auto"/>
            <w:vAlign w:val="center"/>
          </w:tcPr>
          <w:p w14:paraId="2E7E21DE">
            <w:pPr>
              <w:pStyle w:val="17"/>
              <w:rPr>
                <w:b w:val="0"/>
                <w:color w:val="auto"/>
                <w:spacing w:val="-9"/>
              </w:rPr>
            </w:pPr>
            <w:r>
              <w:rPr>
                <w:rFonts w:hint="eastAsia"/>
                <w:b w:val="0"/>
                <w:color w:val="auto"/>
                <w:spacing w:val="-9"/>
              </w:rPr>
              <w:t>风景区一般景区与城镇开发边界</w:t>
            </w:r>
            <w:r>
              <w:rPr>
                <w:b w:val="0"/>
                <w:color w:val="auto"/>
                <w:spacing w:val="-3"/>
              </w:rPr>
              <w:t>存在重叠</w:t>
            </w:r>
          </w:p>
        </w:tc>
      </w:tr>
      <w:tr w14:paraId="36063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648" w:type="pct"/>
            <w:gridSpan w:val="2"/>
            <w:vAlign w:val="center"/>
          </w:tcPr>
          <w:p w14:paraId="78E140DA">
            <w:pPr>
              <w:pStyle w:val="17"/>
              <w:rPr>
                <w:b w:val="0"/>
                <w:color w:val="auto"/>
              </w:rPr>
            </w:pPr>
            <w:r>
              <w:rPr>
                <w:b w:val="0"/>
                <w:color w:val="auto"/>
              </w:rPr>
              <w:t>合计（A+B+C+D-E）</w:t>
            </w:r>
          </w:p>
        </w:tc>
        <w:tc>
          <w:tcPr>
            <w:tcW w:w="854" w:type="pct"/>
            <w:vAlign w:val="center"/>
          </w:tcPr>
          <w:p w14:paraId="2507E02E">
            <w:pPr>
              <w:pStyle w:val="17"/>
              <w:rPr>
                <w:b w:val="0"/>
                <w:color w:val="auto"/>
              </w:rPr>
            </w:pPr>
            <w:r>
              <w:rPr>
                <w:b w:val="0"/>
                <w:color w:val="auto"/>
              </w:rPr>
              <w:t>84.364</w:t>
            </w:r>
          </w:p>
        </w:tc>
        <w:tc>
          <w:tcPr>
            <w:tcW w:w="855" w:type="pct"/>
            <w:vAlign w:val="center"/>
          </w:tcPr>
          <w:p w14:paraId="0C12DBA1">
            <w:pPr>
              <w:pStyle w:val="17"/>
              <w:rPr>
                <w:b w:val="0"/>
                <w:color w:val="auto"/>
              </w:rPr>
            </w:pPr>
            <w:r>
              <w:rPr>
                <w:rFonts w:hint="eastAsia"/>
                <w:b w:val="0"/>
                <w:color w:val="auto"/>
              </w:rPr>
              <w:t>97.304</w:t>
            </w:r>
          </w:p>
        </w:tc>
        <w:tc>
          <w:tcPr>
            <w:tcW w:w="571" w:type="pct"/>
            <w:shd w:val="clear" w:color="auto" w:fill="auto"/>
            <w:vAlign w:val="center"/>
          </w:tcPr>
          <w:p w14:paraId="1B76B521">
            <w:pPr>
              <w:pStyle w:val="17"/>
              <w:rPr>
                <w:b w:val="0"/>
                <w:color w:val="auto"/>
              </w:rPr>
            </w:pPr>
            <w:r>
              <w:rPr>
                <w:rFonts w:hint="eastAsia"/>
                <w:b w:val="0"/>
                <w:color w:val="auto"/>
              </w:rPr>
              <w:t>+12.94</w:t>
            </w:r>
          </w:p>
        </w:tc>
        <w:tc>
          <w:tcPr>
            <w:tcW w:w="1070" w:type="pct"/>
            <w:shd w:val="clear" w:color="auto" w:fill="auto"/>
            <w:vAlign w:val="center"/>
          </w:tcPr>
          <w:p w14:paraId="06D9F088">
            <w:pPr>
              <w:pStyle w:val="17"/>
              <w:rPr>
                <w:b w:val="0"/>
                <w:color w:val="auto"/>
              </w:rPr>
            </w:pPr>
          </w:p>
        </w:tc>
      </w:tr>
    </w:tbl>
    <w:p w14:paraId="0FE5823B">
      <w:pPr>
        <w:ind w:left="0" w:leftChars="0" w:firstLine="0" w:firstLineChars="0"/>
        <w:rPr>
          <w:color w:val="auto"/>
        </w:rPr>
        <w:sectPr>
          <w:pgSz w:w="11906" w:h="16838"/>
          <w:pgMar w:top="1418" w:right="1418" w:bottom="1418" w:left="1418" w:header="720" w:footer="720" w:gutter="0"/>
          <w:pgNumType w:fmt="decimal"/>
          <w:cols w:space="720" w:num="1"/>
        </w:sectPr>
      </w:pPr>
    </w:p>
    <w:p w14:paraId="7FB27394">
      <w:pPr>
        <w:pStyle w:val="17"/>
        <w:rPr>
          <w:rFonts w:hint="eastAsia" w:eastAsia="宋体"/>
          <w:color w:val="auto"/>
          <w:lang w:eastAsia="zh-CN"/>
        </w:rPr>
      </w:pPr>
      <w:r>
        <w:rPr>
          <w:rFonts w:hint="eastAsia" w:eastAsia="宋体"/>
          <w:color w:val="auto"/>
          <w:lang w:eastAsia="zh-CN"/>
        </w:rPr>
        <w:drawing>
          <wp:inline distT="0" distB="0" distL="114300" distR="114300">
            <wp:extent cx="7546975" cy="5340350"/>
            <wp:effectExtent l="0" t="0" r="9525" b="6350"/>
            <wp:docPr id="4" name="图片 4" descr="汕头市濠江区畜禽养殖禁养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汕头市濠江区畜禽养殖禁养区分布图"/>
                    <pic:cNvPicPr>
                      <a:picLocks noChangeAspect="1"/>
                    </pic:cNvPicPr>
                  </pic:nvPicPr>
                  <pic:blipFill>
                    <a:blip r:embed="rId20"/>
                    <a:stretch>
                      <a:fillRect/>
                    </a:stretch>
                  </pic:blipFill>
                  <pic:spPr>
                    <a:xfrm>
                      <a:off x="0" y="0"/>
                      <a:ext cx="7546975" cy="5340350"/>
                    </a:xfrm>
                    <a:prstGeom prst="rect">
                      <a:avLst/>
                    </a:prstGeom>
                  </pic:spPr>
                </pic:pic>
              </a:graphicData>
            </a:graphic>
          </wp:inline>
        </w:drawing>
      </w:r>
    </w:p>
    <w:p w14:paraId="71DEF5E0">
      <w:pPr>
        <w:pStyle w:val="17"/>
        <w:rPr>
          <w:color w:val="auto"/>
        </w:rPr>
        <w:sectPr>
          <w:pgSz w:w="16838" w:h="11906" w:orient="landscape"/>
          <w:pgMar w:top="1418" w:right="1418" w:bottom="1418" w:left="1418" w:header="720" w:footer="720" w:gutter="0"/>
          <w:pgNumType w:fmt="decimal"/>
          <w:cols w:space="720" w:num="1"/>
        </w:sectPr>
      </w:pPr>
      <w:bookmarkStart w:id="38" w:name="_Ref21692"/>
      <w:r>
        <w:rPr>
          <w:color w:val="auto"/>
        </w:rPr>
        <w:t>图5-</w:t>
      </w:r>
      <w:r>
        <w:rPr>
          <w:color w:val="auto"/>
        </w:rPr>
        <w:fldChar w:fldCharType="begin"/>
      </w:r>
      <w:r>
        <w:rPr>
          <w:color w:val="auto"/>
        </w:rPr>
        <w:instrText xml:space="preserve"> SEQ 图5- \* ARABIC </w:instrText>
      </w:r>
      <w:r>
        <w:rPr>
          <w:color w:val="auto"/>
        </w:rPr>
        <w:fldChar w:fldCharType="separate"/>
      </w:r>
      <w:r>
        <w:rPr>
          <w:color w:val="auto"/>
        </w:rPr>
        <w:t>5</w:t>
      </w:r>
      <w:r>
        <w:rPr>
          <w:color w:val="auto"/>
        </w:rPr>
        <w:fldChar w:fldCharType="end"/>
      </w:r>
      <w:bookmarkEnd w:id="38"/>
      <w:r>
        <w:rPr>
          <w:color w:val="auto"/>
        </w:rPr>
        <w:t xml:space="preserve">  </w:t>
      </w:r>
      <w:r>
        <w:rPr>
          <w:rFonts w:hint="eastAsia"/>
          <w:color w:val="auto"/>
        </w:rPr>
        <w:t>濠江区畜禽养殖禁养区范围图</w:t>
      </w:r>
    </w:p>
    <w:p w14:paraId="32BC5207">
      <w:pPr>
        <w:pStyle w:val="3"/>
        <w:rPr>
          <w:color w:val="auto"/>
        </w:rPr>
      </w:pPr>
      <w:bookmarkStart w:id="39" w:name="_Toc30131"/>
      <w:r>
        <w:rPr>
          <w:rFonts w:hint="eastAsia"/>
          <w:color w:val="auto"/>
        </w:rPr>
        <w:t>5.2 养殖管理要求</w:t>
      </w:r>
      <w:bookmarkEnd w:id="39"/>
    </w:p>
    <w:p w14:paraId="3CB5B5FE">
      <w:pPr>
        <w:ind w:firstLine="560"/>
        <w:rPr>
          <w:color w:val="auto"/>
        </w:rPr>
      </w:pPr>
      <w:r>
        <w:rPr>
          <w:color w:val="auto"/>
        </w:rPr>
        <w:t>根据《生态环境部农业农村部关于印发农业农村污染治理攻坚战行动计划的通知》（环土壤〔2018〕143号）、《关于做好畜禽规模养殖项目环境影响评价管理工作的通知》（环办环评〔2018〕31号）、《广东省人民政府办公厅关于印发〈广东省畜禽养殖废弃物资源化利用工作方案〉的通知》（粤办函〔2017〕735号）、《广东省畜禽养殖粪污处理与资源化利用技术指南（试行）》（粤农农〔2018〕91号）、《畜禽养殖场（户）粪污处理设施建设技术指南》（农办牧〔2022〕19号）等相关文件要求，本方案明确养殖管理要求如下：</w:t>
      </w:r>
    </w:p>
    <w:p w14:paraId="3328BC59">
      <w:pPr>
        <w:ind w:firstLine="560"/>
        <w:rPr>
          <w:color w:val="auto"/>
        </w:rPr>
      </w:pPr>
      <w:r>
        <w:rPr>
          <w:rFonts w:hint="eastAsia"/>
          <w:color w:val="auto"/>
        </w:rPr>
        <w:t>（1）</w:t>
      </w:r>
      <w:r>
        <w:rPr>
          <w:color w:val="auto"/>
        </w:rPr>
        <w:t>畜禽养殖应坚持</w:t>
      </w:r>
      <w:r>
        <w:rPr>
          <w:rFonts w:hint="eastAsia"/>
          <w:color w:val="auto"/>
        </w:rPr>
        <w:t>“</w:t>
      </w:r>
      <w:r>
        <w:rPr>
          <w:color w:val="auto"/>
        </w:rPr>
        <w:t>资源节约、质量安全、环境友好</w:t>
      </w:r>
      <w:r>
        <w:rPr>
          <w:rFonts w:hint="eastAsia"/>
          <w:color w:val="auto"/>
        </w:rPr>
        <w:t>”</w:t>
      </w:r>
      <w:r>
        <w:rPr>
          <w:color w:val="auto"/>
        </w:rPr>
        <w:t>原则，进行合理选址，完善设施设备配套，规范生产和防疫管理，实现污染物达标排放。现有规模化畜禽养殖场（小区）要配套建设粪便污水贮存、处理与利用设施，散养密集区要实行粪便污水分户收集、集中处理利用。新建、改建、扩建规模化畜禽养殖场（小区）要实施雨污分流、粪便污水资源化利用。畜禽养殖业应走规模化、集约化发展道路，推行生态养殖、高床养殖、种养结合等技术，推动养殖业优化升级，从源头上防治畜禽养殖污染</w:t>
      </w:r>
      <w:r>
        <w:rPr>
          <w:rFonts w:hint="eastAsia"/>
          <w:color w:val="auto"/>
        </w:rPr>
        <w:t>。</w:t>
      </w:r>
    </w:p>
    <w:p w14:paraId="4CF096ED">
      <w:pPr>
        <w:ind w:firstLine="560"/>
        <w:rPr>
          <w:color w:val="auto"/>
        </w:rPr>
      </w:pPr>
      <w:r>
        <w:rPr>
          <w:rFonts w:hint="eastAsia"/>
          <w:color w:val="auto"/>
        </w:rPr>
        <w:t>畜禽养殖应推进养殖生产清洁化和产业模式生态化。优化调整畜禽养殖布局，推进畜禽养殖标准化示范创建升级，带动畜牧业绿色可持续发展；引导生猪生产向环境容量大的地区转移；推广节水、节料等清洁养殖工艺和干清粪、微生物发酵等实用技术，实现源头减量；规模化养殖场（小区）粪污处理设施参照《畜禽养殖场（户）粪污处理设施建设技术指南》（农办牧〔2022〕19号）中的要求进行建设。</w:t>
      </w:r>
    </w:p>
    <w:p w14:paraId="0E13DA4B">
      <w:pPr>
        <w:ind w:firstLine="560"/>
        <w:rPr>
          <w:color w:val="auto"/>
        </w:rPr>
      </w:pPr>
      <w:r>
        <w:rPr>
          <w:rFonts w:hint="eastAsia"/>
          <w:color w:val="auto"/>
        </w:rPr>
        <w:t>（2）加强畜禽粪污资源化利用。推进畜禽粪污资源化利用，鼓励和引导第三方处理企业将养殖场户畜禽粪污进行专业化集中处理。加强畜禽粪污资源化利用技术集成，因地制宜推广粪污全量收集还田利用等技术模式。</w:t>
      </w:r>
    </w:p>
    <w:p w14:paraId="45BB5F97">
      <w:pPr>
        <w:ind w:firstLine="560"/>
        <w:rPr>
          <w:color w:val="auto"/>
        </w:rPr>
      </w:pPr>
      <w:r>
        <w:rPr>
          <w:color w:val="auto"/>
        </w:rPr>
        <w:t>（3）养殖区严格畜禽规模养殖环境监管。将规模以上畜禽养殖场纳入重点污染源管理，对年出栏生猪5000头（其他畜禽种类折合猪的养殖规模）以上和涉及环境敏感区的畜禽养殖场（小区）执行环评报告书制度，其他畜禽规模养殖场执行环境影响登记表制度，对设有排污口的畜禽规模养殖场实施排污许可制度。将符合有关标准和要求的还田利用量作为统计污染物削减量的重要依据。推动畜禽养殖场安装配备视频监控和排污口在线监测设施并与生态环境部门监控平台联网，记录粪污处理、运输和资源化利用等情况，防治粪污偷运偷排</w:t>
      </w:r>
      <w:r>
        <w:rPr>
          <w:rFonts w:hint="eastAsia"/>
          <w:color w:val="auto"/>
        </w:rPr>
        <w:t>。</w:t>
      </w:r>
    </w:p>
    <w:p w14:paraId="660595E9">
      <w:pPr>
        <w:ind w:firstLine="560"/>
        <w:rPr>
          <w:color w:val="auto"/>
        </w:rPr>
      </w:pPr>
      <w:r>
        <w:rPr>
          <w:color w:val="auto"/>
        </w:rPr>
        <w:t>（4）加强畜禽规模养殖建设项目环境影响评价管理，充分发挥环境影响评价制度的预防作用。</w:t>
      </w:r>
      <w:r>
        <w:rPr>
          <w:rFonts w:hint="eastAsia" w:ascii="宋体" w:hAnsi="宋体" w:eastAsia="宋体" w:cs="宋体"/>
          <w:color w:val="auto"/>
        </w:rPr>
        <w:t>①</w:t>
      </w:r>
      <w:r>
        <w:rPr>
          <w:color w:val="auto"/>
        </w:rPr>
        <w:t>优化项目选址，合理布置养殖场。充分论证选址的环境合理性，与相关规划相协调。按照《畜禽养殖业污染防治技术规范》和《环境影响评价技术导则</w:t>
      </w:r>
      <w:r>
        <w:rPr>
          <w:rFonts w:hint="eastAsia"/>
          <w:color w:val="auto"/>
        </w:rPr>
        <w:t xml:space="preserve"> </w:t>
      </w:r>
      <w:r>
        <w:rPr>
          <w:color w:val="auto"/>
        </w:rPr>
        <w:t>大气环境》等技术文件优化选址及养殖场区内部布置。</w:t>
      </w:r>
      <w:r>
        <w:rPr>
          <w:rFonts w:hint="eastAsia" w:ascii="宋体" w:hAnsi="宋体" w:eastAsia="宋体" w:cs="宋体"/>
          <w:color w:val="auto"/>
        </w:rPr>
        <w:t>②</w:t>
      </w:r>
      <w:r>
        <w:rPr>
          <w:color w:val="auto"/>
        </w:rPr>
        <w:t>加强粪污减量控制，促进畜禽养殖粪污资源化利用。优化养殖工艺从源头减少粪污的产生量，加强粪污资源化利用，促进</w:t>
      </w:r>
      <w:r>
        <w:rPr>
          <w:rFonts w:hint="eastAsia"/>
          <w:color w:val="auto"/>
        </w:rPr>
        <w:t>“</w:t>
      </w:r>
      <w:r>
        <w:rPr>
          <w:color w:val="auto"/>
        </w:rPr>
        <w:t>种养结合</w:t>
      </w:r>
      <w:r>
        <w:rPr>
          <w:rFonts w:hint="eastAsia"/>
          <w:color w:val="auto"/>
        </w:rPr>
        <w:t>”</w:t>
      </w:r>
      <w:r>
        <w:rPr>
          <w:color w:val="auto"/>
        </w:rPr>
        <w:t>绿色发展，根据土地承载能力确定畜禽养殖场的适宜养殖规模。</w:t>
      </w:r>
      <w:r>
        <w:rPr>
          <w:rFonts w:hint="eastAsia" w:ascii="宋体" w:hAnsi="宋体" w:eastAsia="宋体" w:cs="宋体"/>
          <w:color w:val="auto"/>
        </w:rPr>
        <w:t>③</w:t>
      </w:r>
      <w:r>
        <w:rPr>
          <w:color w:val="auto"/>
        </w:rPr>
        <w:t>强化粪污治理措施，做好污染防治。强化粪污治理措施，明确粪污贮存、处理和利用措施。依据相关法律法规和技术规范，制定明确的病死畜禽处理、处置方案。</w:t>
      </w:r>
      <w:r>
        <w:rPr>
          <w:rFonts w:hint="eastAsia" w:ascii="宋体" w:hAnsi="宋体" w:eastAsia="宋体" w:cs="宋体"/>
          <w:color w:val="auto"/>
        </w:rPr>
        <w:t>④</w:t>
      </w:r>
      <w:r>
        <w:rPr>
          <w:color w:val="auto"/>
        </w:rPr>
        <w:t>落实环评信息公开要求，发挥公众参与的监督作用。</w:t>
      </w:r>
      <w:r>
        <w:rPr>
          <w:rFonts w:hint="eastAsia" w:ascii="宋体" w:hAnsi="宋体" w:eastAsia="宋体" w:cs="宋体"/>
          <w:color w:val="auto"/>
        </w:rPr>
        <w:t>⑤</w:t>
      </w:r>
      <w:r>
        <w:rPr>
          <w:color w:val="auto"/>
        </w:rPr>
        <w:t>强化事中事后监管，形成长效管理机制。生态环境主管部门加强畜禽规模养殖项目的全过程管理，建设单位严格执行环保</w:t>
      </w:r>
      <w:r>
        <w:rPr>
          <w:rFonts w:hint="eastAsia"/>
          <w:color w:val="auto"/>
        </w:rPr>
        <w:t>“</w:t>
      </w:r>
      <w:r>
        <w:rPr>
          <w:color w:val="auto"/>
        </w:rPr>
        <w:t>三同时</w:t>
      </w:r>
      <w:r>
        <w:rPr>
          <w:rFonts w:hint="eastAsia"/>
          <w:color w:val="auto"/>
        </w:rPr>
        <w:t>”</w:t>
      </w:r>
      <w:r>
        <w:rPr>
          <w:color w:val="auto"/>
        </w:rPr>
        <w:t>制度</w:t>
      </w:r>
      <w:r>
        <w:rPr>
          <w:rFonts w:hint="eastAsia"/>
          <w:color w:val="auto"/>
        </w:rPr>
        <w:t>。</w:t>
      </w:r>
    </w:p>
    <w:p w14:paraId="18C8D15F">
      <w:pPr>
        <w:ind w:firstLine="560"/>
        <w:rPr>
          <w:color w:val="auto"/>
        </w:rPr>
      </w:pPr>
      <w:r>
        <w:rPr>
          <w:rFonts w:hint="eastAsia"/>
          <w:color w:val="auto"/>
        </w:rPr>
        <w:t>（5）加强养殖区环保执法监督检查。加强畜禽养殖污染防治监督检查，加强畜禽养殖环境污染监测。切实加大畜禽养殖企业日常环保执法力度，对存在“未批先建”、“未验先投”、偷排、漏排、超标排放或擅自拆除、闲置防治污染设施等环境违法行为依法查处，限期整改不达标的养殖场，由政府组织拆除。</w:t>
      </w:r>
    </w:p>
    <w:p w14:paraId="14662475">
      <w:pPr>
        <w:pStyle w:val="2"/>
        <w:spacing w:before="120" w:after="120"/>
        <w:rPr>
          <w:color w:val="auto"/>
        </w:rPr>
      </w:pPr>
      <w:bookmarkStart w:id="40" w:name="_Toc27376"/>
      <w:r>
        <w:rPr>
          <w:rFonts w:hint="eastAsia"/>
          <w:color w:val="auto"/>
        </w:rPr>
        <w:t>6.</w:t>
      </w:r>
      <w:r>
        <w:rPr>
          <w:color w:val="auto"/>
        </w:rPr>
        <w:t>保障措施</w:t>
      </w:r>
      <w:bookmarkEnd w:id="40"/>
    </w:p>
    <w:p w14:paraId="246AD7E3">
      <w:pPr>
        <w:pStyle w:val="3"/>
        <w:rPr>
          <w:color w:val="auto"/>
        </w:rPr>
      </w:pPr>
      <w:bookmarkStart w:id="41" w:name="_Toc27355"/>
      <w:r>
        <w:rPr>
          <w:rFonts w:hint="eastAsia"/>
          <w:color w:val="auto"/>
        </w:rPr>
        <w:t xml:space="preserve">6.1 </w:t>
      </w:r>
      <w:r>
        <w:rPr>
          <w:color w:val="auto"/>
        </w:rPr>
        <w:t>强化组织领导，压实管理责任</w:t>
      </w:r>
      <w:bookmarkEnd w:id="41"/>
    </w:p>
    <w:p w14:paraId="155939DD">
      <w:pPr>
        <w:ind w:firstLine="560"/>
        <w:rPr>
          <w:color w:val="auto"/>
        </w:rPr>
      </w:pPr>
      <w:r>
        <w:rPr>
          <w:color w:val="auto"/>
        </w:rPr>
        <w:t>切实加强统筹领导，成立专项工作领导小组，进一步明确各职能部门职责分工，形成周密组织、协同推进的工作格局。依据《关于进一步规范畜禽养殖禁养区管理的通知》（环办土壤函〔2020〕33号）要求，严格落实</w:t>
      </w:r>
      <w:r>
        <w:rPr>
          <w:rFonts w:hint="eastAsia"/>
          <w:color w:val="auto"/>
        </w:rPr>
        <w:t>“</w:t>
      </w:r>
      <w:r>
        <w:rPr>
          <w:color w:val="auto"/>
        </w:rPr>
        <w:t>谁划定、谁管理</w:t>
      </w:r>
      <w:r>
        <w:rPr>
          <w:rFonts w:hint="eastAsia"/>
          <w:color w:val="auto"/>
        </w:rPr>
        <w:t>”</w:t>
      </w:r>
      <w:r>
        <w:rPr>
          <w:color w:val="auto"/>
        </w:rPr>
        <w:t>原则，依法依规强化禁养区规范化管理，确保责任到人、措施到位。</w:t>
      </w:r>
    </w:p>
    <w:p w14:paraId="7DD08285">
      <w:pPr>
        <w:pStyle w:val="3"/>
        <w:rPr>
          <w:color w:val="auto"/>
        </w:rPr>
      </w:pPr>
      <w:bookmarkStart w:id="42" w:name="_Toc29546"/>
      <w:r>
        <w:rPr>
          <w:rFonts w:hint="eastAsia"/>
          <w:color w:val="auto"/>
        </w:rPr>
        <w:t xml:space="preserve">6.2 </w:t>
      </w:r>
      <w:r>
        <w:rPr>
          <w:color w:val="auto"/>
        </w:rPr>
        <w:t>严格监督管理，推动法规落地</w:t>
      </w:r>
      <w:bookmarkEnd w:id="42"/>
    </w:p>
    <w:p w14:paraId="169D1FD5">
      <w:pPr>
        <w:ind w:firstLine="560"/>
        <w:rPr>
          <w:color w:val="auto"/>
        </w:rPr>
      </w:pPr>
      <w:r>
        <w:rPr>
          <w:color w:val="auto"/>
        </w:rPr>
        <w:t>压实属地管理责任和企业主体责任，构建</w:t>
      </w:r>
      <w:r>
        <w:rPr>
          <w:rFonts w:hint="eastAsia"/>
          <w:color w:val="auto"/>
        </w:rPr>
        <w:t>“</w:t>
      </w:r>
      <w:r>
        <w:rPr>
          <w:color w:val="auto"/>
        </w:rPr>
        <w:t>统一领导、部门协同、街道落实、上下联动</w:t>
      </w:r>
      <w:r>
        <w:rPr>
          <w:rFonts w:hint="eastAsia"/>
          <w:color w:val="auto"/>
        </w:rPr>
        <w:t>”</w:t>
      </w:r>
      <w:r>
        <w:rPr>
          <w:color w:val="auto"/>
        </w:rPr>
        <w:t>的监管体系。加强日常巡查与专项督查，及时发现、整改问题，确保各项治理方案有序推进、取得实效，切实提升畜禽养殖污染防治水平</w:t>
      </w:r>
      <w:r>
        <w:rPr>
          <w:rFonts w:hint="eastAsia"/>
          <w:color w:val="auto"/>
        </w:rPr>
        <w:t>。</w:t>
      </w:r>
    </w:p>
    <w:p w14:paraId="7874448B">
      <w:pPr>
        <w:pStyle w:val="3"/>
        <w:rPr>
          <w:color w:val="auto"/>
        </w:rPr>
      </w:pPr>
      <w:bookmarkStart w:id="43" w:name="_Toc2876"/>
      <w:r>
        <w:rPr>
          <w:rFonts w:hint="eastAsia"/>
          <w:color w:val="auto"/>
        </w:rPr>
        <w:t xml:space="preserve">6.3 </w:t>
      </w:r>
      <w:r>
        <w:rPr>
          <w:color w:val="auto"/>
        </w:rPr>
        <w:t>培树示范典型，强化科技支撑</w:t>
      </w:r>
      <w:bookmarkEnd w:id="43"/>
    </w:p>
    <w:p w14:paraId="710F53AA">
      <w:pPr>
        <w:ind w:firstLine="560"/>
        <w:rPr>
          <w:color w:val="auto"/>
        </w:rPr>
      </w:pPr>
      <w:r>
        <w:rPr>
          <w:rFonts w:hint="eastAsia"/>
          <w:color w:val="auto"/>
        </w:rPr>
        <w:t>濠江</w:t>
      </w:r>
      <w:r>
        <w:rPr>
          <w:color w:val="auto"/>
        </w:rPr>
        <w:t>区农业农村局、汕头市生态环境局</w:t>
      </w:r>
      <w:r>
        <w:rPr>
          <w:rFonts w:hint="eastAsia"/>
          <w:color w:val="auto"/>
        </w:rPr>
        <w:t>濠江</w:t>
      </w:r>
      <w:r>
        <w:rPr>
          <w:color w:val="auto"/>
        </w:rPr>
        <w:t>分局要加强对畜禽养殖发展的指导和管理，采取切实可行的措施大力推广干湿分离、沼气处理、有机肥加工、种养循环等畜禽养殖废弃物处理和资源化利用实用技术，以点带面，鼓励和引导养殖场积极参与畜禽养殖污染防治，促进畜禽养殖业的健康持续发展。</w:t>
      </w:r>
    </w:p>
    <w:p w14:paraId="62F2AD96">
      <w:pPr>
        <w:pStyle w:val="3"/>
        <w:rPr>
          <w:color w:val="auto"/>
        </w:rPr>
      </w:pPr>
      <w:bookmarkStart w:id="44" w:name="_Toc4086"/>
      <w:r>
        <w:rPr>
          <w:rFonts w:hint="eastAsia"/>
          <w:color w:val="auto"/>
        </w:rPr>
        <w:t xml:space="preserve">6.4 </w:t>
      </w:r>
      <w:r>
        <w:rPr>
          <w:color w:val="auto"/>
        </w:rPr>
        <w:t>优化空间布局，建立长效机制</w:t>
      </w:r>
      <w:bookmarkEnd w:id="44"/>
    </w:p>
    <w:p w14:paraId="3DA90134">
      <w:pPr>
        <w:ind w:firstLine="560"/>
        <w:rPr>
          <w:color w:val="auto"/>
        </w:rPr>
      </w:pPr>
      <w:r>
        <w:rPr>
          <w:color w:val="auto"/>
        </w:rPr>
        <w:t>依据《中华人民共和国畜牧法》、《畜禽规模养殖污染防治条例》等法律法规，合理调整辖区内养殖场布局、总量、畜种和规模。强化属地管理职责，将畜禽污染防治纳入</w:t>
      </w:r>
      <w:r>
        <w:rPr>
          <w:rFonts w:hint="eastAsia"/>
          <w:color w:val="auto"/>
        </w:rPr>
        <w:t>“</w:t>
      </w:r>
      <w:r>
        <w:rPr>
          <w:color w:val="auto"/>
        </w:rPr>
        <w:t>网格化</w:t>
      </w:r>
      <w:r>
        <w:rPr>
          <w:rFonts w:hint="eastAsia"/>
          <w:color w:val="auto"/>
        </w:rPr>
        <w:t>”</w:t>
      </w:r>
      <w:r>
        <w:rPr>
          <w:color w:val="auto"/>
        </w:rPr>
        <w:t>管理，加快建立畜禽养殖分区管理长效机制。</w:t>
      </w:r>
    </w:p>
    <w:p w14:paraId="5077B165">
      <w:pPr>
        <w:pStyle w:val="3"/>
        <w:rPr>
          <w:color w:val="auto"/>
        </w:rPr>
      </w:pPr>
      <w:bookmarkStart w:id="45" w:name="_Toc15146"/>
      <w:r>
        <w:rPr>
          <w:rFonts w:hint="eastAsia"/>
          <w:color w:val="auto"/>
        </w:rPr>
        <w:t>6.5 加强宣传引导，营造共治氛围</w:t>
      </w:r>
      <w:bookmarkEnd w:id="45"/>
    </w:p>
    <w:p w14:paraId="1AB3AD1A">
      <w:pPr>
        <w:ind w:firstLine="560"/>
        <w:rPr>
          <w:color w:val="auto"/>
          <w:sz w:val="32"/>
          <w:szCs w:val="32"/>
        </w:rPr>
      </w:pPr>
      <w:r>
        <w:rPr>
          <w:color w:val="auto"/>
        </w:rPr>
        <w:t>由汕头市生态环境局濠江分局牵头，充分利用电视、广播、网络、短信等多种媒介，广泛宣传生态环境保护法律法规及畜禽养殖相关政策。普及科学养殖与环保知识，增强社会公众和养殖主体的环保意识，营造支持禁养区管理、参与污染治理的良好社会氛围，推动形成政府引导、群众参与、社会共治的良好局面</w:t>
      </w:r>
      <w:r>
        <w:rPr>
          <w:rFonts w:hint="eastAsia"/>
          <w:color w:val="auto"/>
        </w:rPr>
        <w:t>。</w:t>
      </w:r>
    </w:p>
    <w:sectPr>
      <w:pgSz w:w="11906" w:h="16838"/>
      <w:pgMar w:top="1418" w:right="1418" w:bottom="1418" w:left="1418"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1" w:fontKey="{0B95140A-7B2B-4600-8B88-7C798307DFFD}"/>
  </w:font>
  <w:font w:name="等线 Light">
    <w:altName w:val="宋体"/>
    <w:panose1 w:val="02010600030101010101"/>
    <w:charset w:val="86"/>
    <w:family w:val="roman"/>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9B0622A5-1892-4076-89E8-7A91BD43B7E2}"/>
  </w:font>
  <w:font w:name="方正小标宋简体">
    <w:panose1 w:val="02000000000000000000"/>
    <w:charset w:val="86"/>
    <w:family w:val="auto"/>
    <w:pitch w:val="default"/>
    <w:sig w:usb0="00000001" w:usb1="08000000" w:usb2="00000000" w:usb3="00000000" w:csb0="00040000" w:csb1="00000000"/>
    <w:embedRegular r:id="rId3" w:fontKey="{C3CAF93C-CB17-497C-BCAE-76CA98CFA914}"/>
  </w:font>
  <w:font w:name="楷体">
    <w:panose1 w:val="02010609060101010101"/>
    <w:charset w:val="86"/>
    <w:family w:val="modern"/>
    <w:pitch w:val="default"/>
    <w:sig w:usb0="800002BF" w:usb1="38CF7CFA" w:usb2="00000016" w:usb3="00000000" w:csb0="00040001" w:csb1="00000000"/>
    <w:embedRegular r:id="rId4" w:fontKey="{8554D246-2294-4A7F-A214-9BA47A72637A}"/>
  </w:font>
  <w:font w:name="WPSEMBED4">
    <w:panose1 w:val="02010609030101010101"/>
    <w:charset w:val="86"/>
    <w:family w:val="auto"/>
    <w:pitch w:val="default"/>
    <w:sig w:usb0="00000001" w:usb1="080E0000" w:usb2="00000000" w:usb3="00000000" w:csb0="0004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ADA0E">
    <w:pPr>
      <w:pStyle w:val="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80A6">
    <w:pPr>
      <w:pStyle w:val="9"/>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8DD4C">
    <w:pPr>
      <w:pStyle w:val="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B65A4">
    <w:pPr>
      <w:pStyle w:val="9"/>
      <w:ind w:firstLine="48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227A">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97E227A">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BA84">
    <w:pPr>
      <w:pStyle w:val="9"/>
      <w:ind w:firstLine="480"/>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1</w:t>
    </w:r>
    <w:r>
      <w:rPr>
        <w:rFonts w:hint="defaul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70488">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30BC2">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9933A">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2AFC">
    <w:pPr>
      <w:widowControl/>
      <w:pBdr>
        <w:bottom w:val="single" w:color="auto" w:sz="4" w:space="0"/>
      </w:pBdr>
      <w:spacing w:line="240" w:lineRule="auto"/>
      <w:ind w:firstLine="0" w:firstLineChars="0"/>
      <w:jc w:val="center"/>
      <w:rPr>
        <w:sz w:val="24"/>
        <w:szCs w:val="24"/>
      </w:rPr>
    </w:pPr>
    <w:r>
      <w:rPr>
        <w:rFonts w:eastAsia="仿宋_GB2312"/>
        <w:color w:val="000000"/>
        <w:sz w:val="24"/>
        <w:szCs w:val="24"/>
        <w:lang w:bidi="ar"/>
      </w:rPr>
      <w:t>汕头市濠江区畜禽养殖禁养区</w:t>
    </w:r>
    <w:r>
      <w:rPr>
        <w:rFonts w:hint="eastAsia" w:eastAsia="仿宋_GB2312"/>
        <w:color w:val="000000"/>
        <w:sz w:val="24"/>
        <w:szCs w:val="24"/>
        <w:lang w:bidi="ar"/>
      </w:rPr>
      <w:t>调整</w:t>
    </w:r>
    <w:r>
      <w:rPr>
        <w:rFonts w:eastAsia="仿宋_GB2312"/>
        <w:color w:val="000000"/>
        <w:sz w:val="24"/>
        <w:szCs w:val="24"/>
        <w:lang w:bidi="ar"/>
      </w:rPr>
      <w:t>方案</w:t>
    </w:r>
    <w:r>
      <w:rPr>
        <w:rFonts w:hint="eastAsia" w:eastAsia="仿宋_GB2312"/>
        <w:color w:val="000000"/>
        <w:sz w:val="24"/>
        <w:szCs w:val="24"/>
        <w:lang w:bidi="ar"/>
      </w:rPr>
      <w:t>（2026年版）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noPunctuationKerning w:val="1"/>
  <w:characterSpacingControl w:val="doNotCompress"/>
  <w:footnotePr>
    <w:footnote w:id="0"/>
    <w:footnote w:id="1"/>
  </w:footnotePr>
  <w:endnotePr>
    <w:endnote w:id="0"/>
    <w:endnote w:id="1"/>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61B"/>
    <w:rsid w:val="00186BF0"/>
    <w:rsid w:val="003D2B9E"/>
    <w:rsid w:val="005F481F"/>
    <w:rsid w:val="006F581F"/>
    <w:rsid w:val="008447D7"/>
    <w:rsid w:val="00951B38"/>
    <w:rsid w:val="009F13E2"/>
    <w:rsid w:val="00A40483"/>
    <w:rsid w:val="00A4061B"/>
    <w:rsid w:val="00B15917"/>
    <w:rsid w:val="00F520C0"/>
    <w:rsid w:val="012F41F1"/>
    <w:rsid w:val="01804A4C"/>
    <w:rsid w:val="019D55FE"/>
    <w:rsid w:val="019F1377"/>
    <w:rsid w:val="01A85D51"/>
    <w:rsid w:val="01AA3877"/>
    <w:rsid w:val="01E138A3"/>
    <w:rsid w:val="02112265"/>
    <w:rsid w:val="021F7DC1"/>
    <w:rsid w:val="024B6E08"/>
    <w:rsid w:val="024C2710"/>
    <w:rsid w:val="027D0F8C"/>
    <w:rsid w:val="028265A2"/>
    <w:rsid w:val="02B374C5"/>
    <w:rsid w:val="03194609"/>
    <w:rsid w:val="03215DBB"/>
    <w:rsid w:val="033B6E7D"/>
    <w:rsid w:val="035148F2"/>
    <w:rsid w:val="037C395B"/>
    <w:rsid w:val="03802AE2"/>
    <w:rsid w:val="03990047"/>
    <w:rsid w:val="03D90444"/>
    <w:rsid w:val="03E72B61"/>
    <w:rsid w:val="04257D07"/>
    <w:rsid w:val="042913CB"/>
    <w:rsid w:val="043B6147"/>
    <w:rsid w:val="0442423B"/>
    <w:rsid w:val="04531FA4"/>
    <w:rsid w:val="04787C5D"/>
    <w:rsid w:val="049802FF"/>
    <w:rsid w:val="049F51EA"/>
    <w:rsid w:val="04C47046"/>
    <w:rsid w:val="04D53301"/>
    <w:rsid w:val="04E92909"/>
    <w:rsid w:val="04EE6171"/>
    <w:rsid w:val="051A6F66"/>
    <w:rsid w:val="05236CF5"/>
    <w:rsid w:val="055661F0"/>
    <w:rsid w:val="056120BB"/>
    <w:rsid w:val="05AA02EA"/>
    <w:rsid w:val="05D92A62"/>
    <w:rsid w:val="0608191C"/>
    <w:rsid w:val="061D286A"/>
    <w:rsid w:val="06253577"/>
    <w:rsid w:val="063D4CBA"/>
    <w:rsid w:val="066721F8"/>
    <w:rsid w:val="066E1982"/>
    <w:rsid w:val="068B1EC9"/>
    <w:rsid w:val="068C5B90"/>
    <w:rsid w:val="06B9739A"/>
    <w:rsid w:val="06DB4B92"/>
    <w:rsid w:val="06FC2A3B"/>
    <w:rsid w:val="070103DE"/>
    <w:rsid w:val="070D6785"/>
    <w:rsid w:val="072145DC"/>
    <w:rsid w:val="07505A68"/>
    <w:rsid w:val="07830DF3"/>
    <w:rsid w:val="07CA07CF"/>
    <w:rsid w:val="07FE491D"/>
    <w:rsid w:val="08033CE1"/>
    <w:rsid w:val="08964B56"/>
    <w:rsid w:val="08971518"/>
    <w:rsid w:val="08A6123D"/>
    <w:rsid w:val="08AC113B"/>
    <w:rsid w:val="08DF3F4A"/>
    <w:rsid w:val="091D7025"/>
    <w:rsid w:val="09854156"/>
    <w:rsid w:val="09D83701"/>
    <w:rsid w:val="09DB4C1E"/>
    <w:rsid w:val="0A131415"/>
    <w:rsid w:val="0A3463D4"/>
    <w:rsid w:val="0A3D172D"/>
    <w:rsid w:val="0A8D08C3"/>
    <w:rsid w:val="0A9D21CB"/>
    <w:rsid w:val="0AD926FF"/>
    <w:rsid w:val="0AF90517"/>
    <w:rsid w:val="0AFE70B8"/>
    <w:rsid w:val="0B0B360F"/>
    <w:rsid w:val="0B154457"/>
    <w:rsid w:val="0C1F187C"/>
    <w:rsid w:val="0C2623F8"/>
    <w:rsid w:val="0C3703FE"/>
    <w:rsid w:val="0C53621A"/>
    <w:rsid w:val="0C5B3B01"/>
    <w:rsid w:val="0C852363"/>
    <w:rsid w:val="0CAD246E"/>
    <w:rsid w:val="0CC010A8"/>
    <w:rsid w:val="0CFA1C03"/>
    <w:rsid w:val="0CFB767D"/>
    <w:rsid w:val="0D093B48"/>
    <w:rsid w:val="0D200E92"/>
    <w:rsid w:val="0D731909"/>
    <w:rsid w:val="0D870F11"/>
    <w:rsid w:val="0D8E04F1"/>
    <w:rsid w:val="0DDE338E"/>
    <w:rsid w:val="0DE13B1F"/>
    <w:rsid w:val="0E0F1632"/>
    <w:rsid w:val="0E2F3A82"/>
    <w:rsid w:val="0E3D26F5"/>
    <w:rsid w:val="0E6A6868"/>
    <w:rsid w:val="0E76520D"/>
    <w:rsid w:val="0EC046DA"/>
    <w:rsid w:val="0EE04D7C"/>
    <w:rsid w:val="0F07253A"/>
    <w:rsid w:val="0F346E76"/>
    <w:rsid w:val="0F7166C8"/>
    <w:rsid w:val="0F8B0ADD"/>
    <w:rsid w:val="0F9F2542"/>
    <w:rsid w:val="0FD04DF1"/>
    <w:rsid w:val="103A670E"/>
    <w:rsid w:val="105C2F10"/>
    <w:rsid w:val="106D2B6E"/>
    <w:rsid w:val="10A053B3"/>
    <w:rsid w:val="10B730C3"/>
    <w:rsid w:val="10F62635"/>
    <w:rsid w:val="11421D1E"/>
    <w:rsid w:val="115A60DA"/>
    <w:rsid w:val="11B9741B"/>
    <w:rsid w:val="11F96D38"/>
    <w:rsid w:val="124D2729"/>
    <w:rsid w:val="126161D4"/>
    <w:rsid w:val="12986F2D"/>
    <w:rsid w:val="12B66520"/>
    <w:rsid w:val="12C54F8C"/>
    <w:rsid w:val="12C94108"/>
    <w:rsid w:val="131B42F0"/>
    <w:rsid w:val="131E05C3"/>
    <w:rsid w:val="132A6F86"/>
    <w:rsid w:val="134F4477"/>
    <w:rsid w:val="1353537A"/>
    <w:rsid w:val="137D5290"/>
    <w:rsid w:val="13D13F54"/>
    <w:rsid w:val="13D73FBA"/>
    <w:rsid w:val="13DA7FEC"/>
    <w:rsid w:val="13F13588"/>
    <w:rsid w:val="13FF5CA5"/>
    <w:rsid w:val="143C0CA7"/>
    <w:rsid w:val="143C2A55"/>
    <w:rsid w:val="14CA1097"/>
    <w:rsid w:val="14E44D48"/>
    <w:rsid w:val="151B3E71"/>
    <w:rsid w:val="15363948"/>
    <w:rsid w:val="1542409B"/>
    <w:rsid w:val="155A29E2"/>
    <w:rsid w:val="156C55BC"/>
    <w:rsid w:val="1581352C"/>
    <w:rsid w:val="15A20FDE"/>
    <w:rsid w:val="15C61361"/>
    <w:rsid w:val="15D46F3B"/>
    <w:rsid w:val="15D53161"/>
    <w:rsid w:val="15EF3AF7"/>
    <w:rsid w:val="15F86E50"/>
    <w:rsid w:val="160A4DF9"/>
    <w:rsid w:val="16585B40"/>
    <w:rsid w:val="16A82624"/>
    <w:rsid w:val="16BA2357"/>
    <w:rsid w:val="172338E2"/>
    <w:rsid w:val="17577BA6"/>
    <w:rsid w:val="176E561B"/>
    <w:rsid w:val="178169D1"/>
    <w:rsid w:val="17C84600"/>
    <w:rsid w:val="17D0302E"/>
    <w:rsid w:val="17D47448"/>
    <w:rsid w:val="180D4EB0"/>
    <w:rsid w:val="184719C8"/>
    <w:rsid w:val="185F6D12"/>
    <w:rsid w:val="186F5C5F"/>
    <w:rsid w:val="18DA44C2"/>
    <w:rsid w:val="18FE644D"/>
    <w:rsid w:val="19127B40"/>
    <w:rsid w:val="191E6BCD"/>
    <w:rsid w:val="192B12EA"/>
    <w:rsid w:val="196D36B1"/>
    <w:rsid w:val="19737D0A"/>
    <w:rsid w:val="19972971"/>
    <w:rsid w:val="199C538A"/>
    <w:rsid w:val="19A76BC3"/>
    <w:rsid w:val="19C332D1"/>
    <w:rsid w:val="19DC4392"/>
    <w:rsid w:val="1A0D439C"/>
    <w:rsid w:val="1A514D80"/>
    <w:rsid w:val="1A7D7923"/>
    <w:rsid w:val="1A9C424D"/>
    <w:rsid w:val="1AAD4C70"/>
    <w:rsid w:val="1AB5530F"/>
    <w:rsid w:val="1AB64BE3"/>
    <w:rsid w:val="1ADA2FC8"/>
    <w:rsid w:val="1B023FE0"/>
    <w:rsid w:val="1B252495"/>
    <w:rsid w:val="1B5A2BFC"/>
    <w:rsid w:val="1B676620"/>
    <w:rsid w:val="1B7723C3"/>
    <w:rsid w:val="1BD46FA1"/>
    <w:rsid w:val="1BF14125"/>
    <w:rsid w:val="1BF91F41"/>
    <w:rsid w:val="1C02560E"/>
    <w:rsid w:val="1C0D00E4"/>
    <w:rsid w:val="1C47468D"/>
    <w:rsid w:val="1C4C1CA3"/>
    <w:rsid w:val="1C8A1297"/>
    <w:rsid w:val="1CA643DD"/>
    <w:rsid w:val="1CD13F56"/>
    <w:rsid w:val="1CF937E2"/>
    <w:rsid w:val="1D0D1432"/>
    <w:rsid w:val="1D4B1F5B"/>
    <w:rsid w:val="1D5D716E"/>
    <w:rsid w:val="1D8F16F3"/>
    <w:rsid w:val="1DAD6772"/>
    <w:rsid w:val="1DCD0BC2"/>
    <w:rsid w:val="1E032835"/>
    <w:rsid w:val="1E0E551D"/>
    <w:rsid w:val="1EA41923"/>
    <w:rsid w:val="1EA90CE7"/>
    <w:rsid w:val="1EB3600A"/>
    <w:rsid w:val="1EBE453C"/>
    <w:rsid w:val="1EC53C0A"/>
    <w:rsid w:val="1ECC7CDD"/>
    <w:rsid w:val="1F29007A"/>
    <w:rsid w:val="1F341D2C"/>
    <w:rsid w:val="1F457E33"/>
    <w:rsid w:val="1F817EB6"/>
    <w:rsid w:val="1F973235"/>
    <w:rsid w:val="1FC009DE"/>
    <w:rsid w:val="1FF269A2"/>
    <w:rsid w:val="200A3A07"/>
    <w:rsid w:val="201C0599"/>
    <w:rsid w:val="206E0C49"/>
    <w:rsid w:val="20AF45AF"/>
    <w:rsid w:val="210E39CB"/>
    <w:rsid w:val="21493229"/>
    <w:rsid w:val="21535882"/>
    <w:rsid w:val="21577120"/>
    <w:rsid w:val="217F6E19"/>
    <w:rsid w:val="218C669E"/>
    <w:rsid w:val="21932304"/>
    <w:rsid w:val="21AA411B"/>
    <w:rsid w:val="21B77BBF"/>
    <w:rsid w:val="21FC3824"/>
    <w:rsid w:val="222039B6"/>
    <w:rsid w:val="22511DC1"/>
    <w:rsid w:val="22AF6AE8"/>
    <w:rsid w:val="22C85527"/>
    <w:rsid w:val="22CC7C80"/>
    <w:rsid w:val="22E024E9"/>
    <w:rsid w:val="231B417D"/>
    <w:rsid w:val="23D11A54"/>
    <w:rsid w:val="23D83E1C"/>
    <w:rsid w:val="2403533D"/>
    <w:rsid w:val="241A75B5"/>
    <w:rsid w:val="2423778D"/>
    <w:rsid w:val="2435126F"/>
    <w:rsid w:val="24577437"/>
    <w:rsid w:val="246A4052"/>
    <w:rsid w:val="24822706"/>
    <w:rsid w:val="2483022C"/>
    <w:rsid w:val="248F097F"/>
    <w:rsid w:val="24C0322E"/>
    <w:rsid w:val="25207829"/>
    <w:rsid w:val="254A2AF8"/>
    <w:rsid w:val="2583435D"/>
    <w:rsid w:val="259124D5"/>
    <w:rsid w:val="262D044F"/>
    <w:rsid w:val="263133EF"/>
    <w:rsid w:val="26357304"/>
    <w:rsid w:val="263E265D"/>
    <w:rsid w:val="26437C73"/>
    <w:rsid w:val="27320A96"/>
    <w:rsid w:val="27343A60"/>
    <w:rsid w:val="27533CE4"/>
    <w:rsid w:val="27553154"/>
    <w:rsid w:val="27D112AE"/>
    <w:rsid w:val="28463A4A"/>
    <w:rsid w:val="285717B4"/>
    <w:rsid w:val="2895359B"/>
    <w:rsid w:val="28FD4B60"/>
    <w:rsid w:val="29042810"/>
    <w:rsid w:val="29125D2C"/>
    <w:rsid w:val="29220014"/>
    <w:rsid w:val="292F0982"/>
    <w:rsid w:val="294615CF"/>
    <w:rsid w:val="294C32E2"/>
    <w:rsid w:val="296F240F"/>
    <w:rsid w:val="29890093"/>
    <w:rsid w:val="29A0718A"/>
    <w:rsid w:val="29C94933"/>
    <w:rsid w:val="2A1A2F1D"/>
    <w:rsid w:val="2A1B07AF"/>
    <w:rsid w:val="2A342CE2"/>
    <w:rsid w:val="2A5A558B"/>
    <w:rsid w:val="2A612DBE"/>
    <w:rsid w:val="2A7D74CC"/>
    <w:rsid w:val="2A8354A3"/>
    <w:rsid w:val="2AA64E47"/>
    <w:rsid w:val="2AD262B6"/>
    <w:rsid w:val="2AFE23BA"/>
    <w:rsid w:val="2B406E77"/>
    <w:rsid w:val="2B6113B2"/>
    <w:rsid w:val="2B7D46AF"/>
    <w:rsid w:val="2B97636B"/>
    <w:rsid w:val="2B9D15AA"/>
    <w:rsid w:val="2C131E96"/>
    <w:rsid w:val="2C1A3224"/>
    <w:rsid w:val="2C332538"/>
    <w:rsid w:val="2C3C763E"/>
    <w:rsid w:val="2C6D0CF3"/>
    <w:rsid w:val="2C723060"/>
    <w:rsid w:val="2D6D1A79"/>
    <w:rsid w:val="2DA51213"/>
    <w:rsid w:val="2DC42CE9"/>
    <w:rsid w:val="2DD56D57"/>
    <w:rsid w:val="2DD6761F"/>
    <w:rsid w:val="2E0C4DEE"/>
    <w:rsid w:val="2E3E7260"/>
    <w:rsid w:val="2E4E18AB"/>
    <w:rsid w:val="2E5B03A8"/>
    <w:rsid w:val="2E627104"/>
    <w:rsid w:val="2E6B420B"/>
    <w:rsid w:val="2E784B8F"/>
    <w:rsid w:val="2E7D5E52"/>
    <w:rsid w:val="2EEB0EA8"/>
    <w:rsid w:val="2F37233F"/>
    <w:rsid w:val="2F3E7229"/>
    <w:rsid w:val="2F4E3FEE"/>
    <w:rsid w:val="2F575B54"/>
    <w:rsid w:val="2F693FD8"/>
    <w:rsid w:val="2F742A09"/>
    <w:rsid w:val="2F917CA1"/>
    <w:rsid w:val="2F9A2833"/>
    <w:rsid w:val="2F9C21A2"/>
    <w:rsid w:val="2F9D107A"/>
    <w:rsid w:val="2FAD7704"/>
    <w:rsid w:val="2FB76FDC"/>
    <w:rsid w:val="2FDD4EC8"/>
    <w:rsid w:val="2FF43D8C"/>
    <w:rsid w:val="30065993"/>
    <w:rsid w:val="305B3E0B"/>
    <w:rsid w:val="30701766"/>
    <w:rsid w:val="30705B08"/>
    <w:rsid w:val="30A43A04"/>
    <w:rsid w:val="30BA4FD6"/>
    <w:rsid w:val="3106021B"/>
    <w:rsid w:val="311F752F"/>
    <w:rsid w:val="31295890"/>
    <w:rsid w:val="31480833"/>
    <w:rsid w:val="319544E8"/>
    <w:rsid w:val="31F34273"/>
    <w:rsid w:val="31F938DC"/>
    <w:rsid w:val="324C7EAF"/>
    <w:rsid w:val="326351F9"/>
    <w:rsid w:val="32672F3B"/>
    <w:rsid w:val="32A16C40"/>
    <w:rsid w:val="32A55811"/>
    <w:rsid w:val="32B74DEF"/>
    <w:rsid w:val="32F45A3B"/>
    <w:rsid w:val="32F56799"/>
    <w:rsid w:val="32FA2C28"/>
    <w:rsid w:val="3302763B"/>
    <w:rsid w:val="332C4665"/>
    <w:rsid w:val="333472C1"/>
    <w:rsid w:val="339905EB"/>
    <w:rsid w:val="33AE06F6"/>
    <w:rsid w:val="33DC5263"/>
    <w:rsid w:val="33EC7B9C"/>
    <w:rsid w:val="33F534DF"/>
    <w:rsid w:val="34285A89"/>
    <w:rsid w:val="34482B7E"/>
    <w:rsid w:val="344E43B3"/>
    <w:rsid w:val="34565015"/>
    <w:rsid w:val="34873421"/>
    <w:rsid w:val="34C2562F"/>
    <w:rsid w:val="34DA1D12"/>
    <w:rsid w:val="35171736"/>
    <w:rsid w:val="351C1C63"/>
    <w:rsid w:val="3546508A"/>
    <w:rsid w:val="354E3F3E"/>
    <w:rsid w:val="357563ED"/>
    <w:rsid w:val="357F67EE"/>
    <w:rsid w:val="35A02B5B"/>
    <w:rsid w:val="35C600A4"/>
    <w:rsid w:val="35F920FC"/>
    <w:rsid w:val="35FE5964"/>
    <w:rsid w:val="36257DF1"/>
    <w:rsid w:val="36877708"/>
    <w:rsid w:val="368D049B"/>
    <w:rsid w:val="36A54032"/>
    <w:rsid w:val="36FF3742"/>
    <w:rsid w:val="37160A8C"/>
    <w:rsid w:val="371F5B92"/>
    <w:rsid w:val="37353608"/>
    <w:rsid w:val="37677539"/>
    <w:rsid w:val="37710A72"/>
    <w:rsid w:val="37A34A15"/>
    <w:rsid w:val="37A61E10"/>
    <w:rsid w:val="38591578"/>
    <w:rsid w:val="389820A0"/>
    <w:rsid w:val="38993C8D"/>
    <w:rsid w:val="38DD78B2"/>
    <w:rsid w:val="38FA1F09"/>
    <w:rsid w:val="390A4620"/>
    <w:rsid w:val="391E43F1"/>
    <w:rsid w:val="39423DBA"/>
    <w:rsid w:val="39750CCB"/>
    <w:rsid w:val="39BF540B"/>
    <w:rsid w:val="39D55FF8"/>
    <w:rsid w:val="3A115F36"/>
    <w:rsid w:val="3A7B1C42"/>
    <w:rsid w:val="3A7D7564"/>
    <w:rsid w:val="3A8F71B3"/>
    <w:rsid w:val="3AC07DBA"/>
    <w:rsid w:val="3ACF5B21"/>
    <w:rsid w:val="3AE26A56"/>
    <w:rsid w:val="3B404329"/>
    <w:rsid w:val="3B5941B5"/>
    <w:rsid w:val="3B79050B"/>
    <w:rsid w:val="3BB23479"/>
    <w:rsid w:val="3BB50822"/>
    <w:rsid w:val="3BC1546A"/>
    <w:rsid w:val="3BEE1FD7"/>
    <w:rsid w:val="3BFA74DA"/>
    <w:rsid w:val="3C08753D"/>
    <w:rsid w:val="3C4E0B9A"/>
    <w:rsid w:val="3C58047A"/>
    <w:rsid w:val="3C681D8A"/>
    <w:rsid w:val="3C822413"/>
    <w:rsid w:val="3CA120F2"/>
    <w:rsid w:val="3CFB0E50"/>
    <w:rsid w:val="3D1E4B3E"/>
    <w:rsid w:val="3D6B3FEF"/>
    <w:rsid w:val="3D9170BE"/>
    <w:rsid w:val="3DAE7AB2"/>
    <w:rsid w:val="3DB57251"/>
    <w:rsid w:val="3DDA334C"/>
    <w:rsid w:val="3DF77869"/>
    <w:rsid w:val="3E605300"/>
    <w:rsid w:val="3E612F34"/>
    <w:rsid w:val="3E8246A6"/>
    <w:rsid w:val="3EAB2402"/>
    <w:rsid w:val="3EB72C41"/>
    <w:rsid w:val="3EB76FF8"/>
    <w:rsid w:val="3EBA43F3"/>
    <w:rsid w:val="3EFF0248"/>
    <w:rsid w:val="3F1C6E5B"/>
    <w:rsid w:val="3F6E3B5B"/>
    <w:rsid w:val="3F827606"/>
    <w:rsid w:val="3F854A01"/>
    <w:rsid w:val="3FA16FFD"/>
    <w:rsid w:val="3FC96FE3"/>
    <w:rsid w:val="3FCF78FC"/>
    <w:rsid w:val="3FD80FD4"/>
    <w:rsid w:val="3FEA5477"/>
    <w:rsid w:val="3FF102E8"/>
    <w:rsid w:val="40063D93"/>
    <w:rsid w:val="40273D0A"/>
    <w:rsid w:val="403326AF"/>
    <w:rsid w:val="405A7C3B"/>
    <w:rsid w:val="405D597D"/>
    <w:rsid w:val="40621B84"/>
    <w:rsid w:val="40752CC7"/>
    <w:rsid w:val="40A84E4B"/>
    <w:rsid w:val="412A1D04"/>
    <w:rsid w:val="41306BEE"/>
    <w:rsid w:val="415723CD"/>
    <w:rsid w:val="41586871"/>
    <w:rsid w:val="415B153A"/>
    <w:rsid w:val="41654AEA"/>
    <w:rsid w:val="41810B95"/>
    <w:rsid w:val="418E718F"/>
    <w:rsid w:val="41A82C28"/>
    <w:rsid w:val="420E561A"/>
    <w:rsid w:val="421B33FA"/>
    <w:rsid w:val="425E3E47"/>
    <w:rsid w:val="427D5E63"/>
    <w:rsid w:val="429338D8"/>
    <w:rsid w:val="42F011B1"/>
    <w:rsid w:val="42FE6FA4"/>
    <w:rsid w:val="431542ED"/>
    <w:rsid w:val="432B1AFF"/>
    <w:rsid w:val="4339622E"/>
    <w:rsid w:val="435B2648"/>
    <w:rsid w:val="43655275"/>
    <w:rsid w:val="43B23C13"/>
    <w:rsid w:val="43C51E84"/>
    <w:rsid w:val="43D16732"/>
    <w:rsid w:val="440801FC"/>
    <w:rsid w:val="44103FB1"/>
    <w:rsid w:val="44185E43"/>
    <w:rsid w:val="44257F10"/>
    <w:rsid w:val="443513FE"/>
    <w:rsid w:val="444702D6"/>
    <w:rsid w:val="44472BCC"/>
    <w:rsid w:val="445F7F16"/>
    <w:rsid w:val="44974FF2"/>
    <w:rsid w:val="44BF6C07"/>
    <w:rsid w:val="44CD1324"/>
    <w:rsid w:val="45232EC1"/>
    <w:rsid w:val="45240818"/>
    <w:rsid w:val="457500B8"/>
    <w:rsid w:val="45F72ADC"/>
    <w:rsid w:val="46396545"/>
    <w:rsid w:val="467D28D5"/>
    <w:rsid w:val="46C30617"/>
    <w:rsid w:val="46C83295"/>
    <w:rsid w:val="46DC6879"/>
    <w:rsid w:val="472E597E"/>
    <w:rsid w:val="476D2268"/>
    <w:rsid w:val="477535AD"/>
    <w:rsid w:val="478C7274"/>
    <w:rsid w:val="47B40579"/>
    <w:rsid w:val="47B916EB"/>
    <w:rsid w:val="480037BE"/>
    <w:rsid w:val="48931F3C"/>
    <w:rsid w:val="48AB1657"/>
    <w:rsid w:val="48E24C72"/>
    <w:rsid w:val="49044BE8"/>
    <w:rsid w:val="494030A4"/>
    <w:rsid w:val="49D55DE7"/>
    <w:rsid w:val="49E45F97"/>
    <w:rsid w:val="4A730277"/>
    <w:rsid w:val="4A783AE0"/>
    <w:rsid w:val="4A7A7358"/>
    <w:rsid w:val="4ACB711A"/>
    <w:rsid w:val="4ACF18CC"/>
    <w:rsid w:val="4AF869CF"/>
    <w:rsid w:val="4B384406"/>
    <w:rsid w:val="4B3C501C"/>
    <w:rsid w:val="4B4E2A92"/>
    <w:rsid w:val="4BA650B0"/>
    <w:rsid w:val="4BD5105B"/>
    <w:rsid w:val="4BFC604B"/>
    <w:rsid w:val="4C126950"/>
    <w:rsid w:val="4C42398C"/>
    <w:rsid w:val="4C6D0CF6"/>
    <w:rsid w:val="4C714C8A"/>
    <w:rsid w:val="4C742085"/>
    <w:rsid w:val="4C970E98"/>
    <w:rsid w:val="4CA9635E"/>
    <w:rsid w:val="4CC377BB"/>
    <w:rsid w:val="4CD05346"/>
    <w:rsid w:val="4D0E24D9"/>
    <w:rsid w:val="4D665E71"/>
    <w:rsid w:val="4D9E567C"/>
    <w:rsid w:val="4DE44FE8"/>
    <w:rsid w:val="4DFE254E"/>
    <w:rsid w:val="4DFF1E22"/>
    <w:rsid w:val="4E0021B2"/>
    <w:rsid w:val="4E0336C0"/>
    <w:rsid w:val="4E0D09E3"/>
    <w:rsid w:val="4E191136"/>
    <w:rsid w:val="4E355844"/>
    <w:rsid w:val="4E657666"/>
    <w:rsid w:val="4E9E77F7"/>
    <w:rsid w:val="4ED545CA"/>
    <w:rsid w:val="4EEE25C2"/>
    <w:rsid w:val="4F3D70A6"/>
    <w:rsid w:val="4F8B6063"/>
    <w:rsid w:val="4FAB04B3"/>
    <w:rsid w:val="4FD35314"/>
    <w:rsid w:val="50066209"/>
    <w:rsid w:val="50106568"/>
    <w:rsid w:val="506D7517"/>
    <w:rsid w:val="507E7976"/>
    <w:rsid w:val="50915D1C"/>
    <w:rsid w:val="50A76526"/>
    <w:rsid w:val="50AD2009"/>
    <w:rsid w:val="50E7376D"/>
    <w:rsid w:val="510734AA"/>
    <w:rsid w:val="512E6655"/>
    <w:rsid w:val="5130314B"/>
    <w:rsid w:val="513242BC"/>
    <w:rsid w:val="51330378"/>
    <w:rsid w:val="514364CA"/>
    <w:rsid w:val="515E50B1"/>
    <w:rsid w:val="51874608"/>
    <w:rsid w:val="518C1C1F"/>
    <w:rsid w:val="519531C9"/>
    <w:rsid w:val="51960CEF"/>
    <w:rsid w:val="51A14D79"/>
    <w:rsid w:val="51DF3856"/>
    <w:rsid w:val="52262437"/>
    <w:rsid w:val="52432C25"/>
    <w:rsid w:val="52495D62"/>
    <w:rsid w:val="525E35BB"/>
    <w:rsid w:val="52641E2E"/>
    <w:rsid w:val="52C553E8"/>
    <w:rsid w:val="52CF406F"/>
    <w:rsid w:val="52E53041"/>
    <w:rsid w:val="53277E51"/>
    <w:rsid w:val="53312A7E"/>
    <w:rsid w:val="533F6CB7"/>
    <w:rsid w:val="537B019D"/>
    <w:rsid w:val="5393482C"/>
    <w:rsid w:val="53A414A2"/>
    <w:rsid w:val="53B11E10"/>
    <w:rsid w:val="53C02053"/>
    <w:rsid w:val="53C402D2"/>
    <w:rsid w:val="544762D1"/>
    <w:rsid w:val="54A31759"/>
    <w:rsid w:val="55097B6F"/>
    <w:rsid w:val="55256612"/>
    <w:rsid w:val="554747DA"/>
    <w:rsid w:val="55543939"/>
    <w:rsid w:val="557C5479"/>
    <w:rsid w:val="562B5EAA"/>
    <w:rsid w:val="56690780"/>
    <w:rsid w:val="567A2B24"/>
    <w:rsid w:val="56E74F6A"/>
    <w:rsid w:val="573E7E5F"/>
    <w:rsid w:val="57B17F9E"/>
    <w:rsid w:val="57C57C38"/>
    <w:rsid w:val="57D165DD"/>
    <w:rsid w:val="57D871DB"/>
    <w:rsid w:val="58240E03"/>
    <w:rsid w:val="582901C7"/>
    <w:rsid w:val="58417616"/>
    <w:rsid w:val="58586CFE"/>
    <w:rsid w:val="58BE3005"/>
    <w:rsid w:val="58CB5722"/>
    <w:rsid w:val="58D97E3F"/>
    <w:rsid w:val="58DC7930"/>
    <w:rsid w:val="58F41BBE"/>
    <w:rsid w:val="59401C6C"/>
    <w:rsid w:val="594613D7"/>
    <w:rsid w:val="5979276E"/>
    <w:rsid w:val="59B241EC"/>
    <w:rsid w:val="59DF5BDD"/>
    <w:rsid w:val="5A113609"/>
    <w:rsid w:val="5A255C83"/>
    <w:rsid w:val="5A367A4F"/>
    <w:rsid w:val="5A453E43"/>
    <w:rsid w:val="5A56101C"/>
    <w:rsid w:val="5A565DEB"/>
    <w:rsid w:val="5A9526F1"/>
    <w:rsid w:val="5A990538"/>
    <w:rsid w:val="5AB83A84"/>
    <w:rsid w:val="5ACB01DE"/>
    <w:rsid w:val="5ADD2684"/>
    <w:rsid w:val="5AE66844"/>
    <w:rsid w:val="5AEB3E5A"/>
    <w:rsid w:val="5AF0321E"/>
    <w:rsid w:val="5B044F1C"/>
    <w:rsid w:val="5B6A4DC4"/>
    <w:rsid w:val="5B7A10F7"/>
    <w:rsid w:val="5B9E7D89"/>
    <w:rsid w:val="5BD76CE2"/>
    <w:rsid w:val="5BDA6E38"/>
    <w:rsid w:val="5BE865EB"/>
    <w:rsid w:val="5CAC724A"/>
    <w:rsid w:val="5CE77A46"/>
    <w:rsid w:val="5D3715D8"/>
    <w:rsid w:val="5D5C2DED"/>
    <w:rsid w:val="5D7A14C5"/>
    <w:rsid w:val="5DA56542"/>
    <w:rsid w:val="5DAC45BF"/>
    <w:rsid w:val="5E065D78"/>
    <w:rsid w:val="5E070FAB"/>
    <w:rsid w:val="5E331DA0"/>
    <w:rsid w:val="5E420235"/>
    <w:rsid w:val="5E443FAD"/>
    <w:rsid w:val="5E4928F7"/>
    <w:rsid w:val="5E800339"/>
    <w:rsid w:val="5E824AD5"/>
    <w:rsid w:val="5EF62DCD"/>
    <w:rsid w:val="5F1E0D13"/>
    <w:rsid w:val="5F433EA1"/>
    <w:rsid w:val="5F4A706B"/>
    <w:rsid w:val="5F5024DD"/>
    <w:rsid w:val="5F640F7C"/>
    <w:rsid w:val="5F64678F"/>
    <w:rsid w:val="5F6B37BB"/>
    <w:rsid w:val="5F76780E"/>
    <w:rsid w:val="5FC37153"/>
    <w:rsid w:val="5FF217E7"/>
    <w:rsid w:val="601243E7"/>
    <w:rsid w:val="602D281F"/>
    <w:rsid w:val="603718B5"/>
    <w:rsid w:val="60536011"/>
    <w:rsid w:val="60681978"/>
    <w:rsid w:val="60822B6A"/>
    <w:rsid w:val="609B1E7E"/>
    <w:rsid w:val="60B30F76"/>
    <w:rsid w:val="60E92BEA"/>
    <w:rsid w:val="60EA0735"/>
    <w:rsid w:val="60FF41BB"/>
    <w:rsid w:val="611A7247"/>
    <w:rsid w:val="611C3B9F"/>
    <w:rsid w:val="611D2893"/>
    <w:rsid w:val="61243C22"/>
    <w:rsid w:val="613E2DAE"/>
    <w:rsid w:val="61483B0B"/>
    <w:rsid w:val="61532759"/>
    <w:rsid w:val="615838CB"/>
    <w:rsid w:val="61946FF9"/>
    <w:rsid w:val="619A0388"/>
    <w:rsid w:val="61A05AAB"/>
    <w:rsid w:val="61AD3C17"/>
    <w:rsid w:val="61B37CD9"/>
    <w:rsid w:val="61EA6C19"/>
    <w:rsid w:val="620A1069"/>
    <w:rsid w:val="621E4ECF"/>
    <w:rsid w:val="622D4D58"/>
    <w:rsid w:val="622F0AD0"/>
    <w:rsid w:val="624309B2"/>
    <w:rsid w:val="62662018"/>
    <w:rsid w:val="62737D9F"/>
    <w:rsid w:val="627821ED"/>
    <w:rsid w:val="629F6A6C"/>
    <w:rsid w:val="62B17737"/>
    <w:rsid w:val="62C76F5B"/>
    <w:rsid w:val="62EA0E0F"/>
    <w:rsid w:val="62FE04A2"/>
    <w:rsid w:val="631D6E2D"/>
    <w:rsid w:val="63620A31"/>
    <w:rsid w:val="637349EC"/>
    <w:rsid w:val="64012DCD"/>
    <w:rsid w:val="64032DE5"/>
    <w:rsid w:val="640F598F"/>
    <w:rsid w:val="645D39F0"/>
    <w:rsid w:val="64CD78EC"/>
    <w:rsid w:val="64FE478A"/>
    <w:rsid w:val="650765BE"/>
    <w:rsid w:val="656C18C2"/>
    <w:rsid w:val="658B7653"/>
    <w:rsid w:val="65B80DDC"/>
    <w:rsid w:val="65CD1B45"/>
    <w:rsid w:val="660A1AE2"/>
    <w:rsid w:val="660C0E4C"/>
    <w:rsid w:val="661428E2"/>
    <w:rsid w:val="661B4993"/>
    <w:rsid w:val="6637091A"/>
    <w:rsid w:val="66B617C0"/>
    <w:rsid w:val="66BC66AA"/>
    <w:rsid w:val="66C11F13"/>
    <w:rsid w:val="670047E9"/>
    <w:rsid w:val="671E598E"/>
    <w:rsid w:val="67241FB8"/>
    <w:rsid w:val="675E4AC0"/>
    <w:rsid w:val="67633531"/>
    <w:rsid w:val="67693F7C"/>
    <w:rsid w:val="67C717AB"/>
    <w:rsid w:val="680C4DB4"/>
    <w:rsid w:val="68632379"/>
    <w:rsid w:val="68921DB9"/>
    <w:rsid w:val="689B6EBF"/>
    <w:rsid w:val="68A45648"/>
    <w:rsid w:val="68E02B24"/>
    <w:rsid w:val="690A46F8"/>
    <w:rsid w:val="695E7EED"/>
    <w:rsid w:val="698A0CE2"/>
    <w:rsid w:val="69AF5046"/>
    <w:rsid w:val="69B10AAA"/>
    <w:rsid w:val="69C004EE"/>
    <w:rsid w:val="69FA5E67"/>
    <w:rsid w:val="6A1D56B2"/>
    <w:rsid w:val="6A3550F2"/>
    <w:rsid w:val="6A935974"/>
    <w:rsid w:val="6B7A6DB6"/>
    <w:rsid w:val="6BA71B66"/>
    <w:rsid w:val="6BB169FA"/>
    <w:rsid w:val="6CC4450B"/>
    <w:rsid w:val="6CC7503F"/>
    <w:rsid w:val="6CD10152"/>
    <w:rsid w:val="6CE81FA7"/>
    <w:rsid w:val="6D003795"/>
    <w:rsid w:val="6D0258F8"/>
    <w:rsid w:val="6D297EFB"/>
    <w:rsid w:val="6D663890"/>
    <w:rsid w:val="6D6B4986"/>
    <w:rsid w:val="6D864955"/>
    <w:rsid w:val="6D986253"/>
    <w:rsid w:val="6DD67116"/>
    <w:rsid w:val="6DF026EB"/>
    <w:rsid w:val="6E182D60"/>
    <w:rsid w:val="6E1D1F4C"/>
    <w:rsid w:val="6E290AC9"/>
    <w:rsid w:val="6E3F209B"/>
    <w:rsid w:val="6E71421E"/>
    <w:rsid w:val="6E755ABD"/>
    <w:rsid w:val="6E7E2EFE"/>
    <w:rsid w:val="6E8B4399"/>
    <w:rsid w:val="6E9D37A0"/>
    <w:rsid w:val="6EBC7B8F"/>
    <w:rsid w:val="6EC62779"/>
    <w:rsid w:val="6EE60768"/>
    <w:rsid w:val="6EEF0C4A"/>
    <w:rsid w:val="6EF51882"/>
    <w:rsid w:val="6EFA0593"/>
    <w:rsid w:val="6F046DEC"/>
    <w:rsid w:val="6F20011E"/>
    <w:rsid w:val="6F26325B"/>
    <w:rsid w:val="6FA04DBB"/>
    <w:rsid w:val="6FAD3B5F"/>
    <w:rsid w:val="6FDB1261"/>
    <w:rsid w:val="70241CE7"/>
    <w:rsid w:val="704B68A8"/>
    <w:rsid w:val="707242A5"/>
    <w:rsid w:val="708239E7"/>
    <w:rsid w:val="708B4477"/>
    <w:rsid w:val="709C1A26"/>
    <w:rsid w:val="70A02B99"/>
    <w:rsid w:val="70E64A50"/>
    <w:rsid w:val="7165010C"/>
    <w:rsid w:val="719C7804"/>
    <w:rsid w:val="71B4755B"/>
    <w:rsid w:val="71BC3A02"/>
    <w:rsid w:val="71CD47B8"/>
    <w:rsid w:val="71DC40A5"/>
    <w:rsid w:val="71F237C3"/>
    <w:rsid w:val="720D24B0"/>
    <w:rsid w:val="727918F3"/>
    <w:rsid w:val="72AE7B36"/>
    <w:rsid w:val="72B33057"/>
    <w:rsid w:val="72B8241C"/>
    <w:rsid w:val="732D7207"/>
    <w:rsid w:val="735A34D3"/>
    <w:rsid w:val="73742472"/>
    <w:rsid w:val="73C31078"/>
    <w:rsid w:val="73F80175"/>
    <w:rsid w:val="742D0BE7"/>
    <w:rsid w:val="74734DA0"/>
    <w:rsid w:val="74B72C97"/>
    <w:rsid w:val="74F02341"/>
    <w:rsid w:val="75410D60"/>
    <w:rsid w:val="75510906"/>
    <w:rsid w:val="75642FBC"/>
    <w:rsid w:val="75670966"/>
    <w:rsid w:val="75C710B7"/>
    <w:rsid w:val="75F220E9"/>
    <w:rsid w:val="762B1157"/>
    <w:rsid w:val="7671497F"/>
    <w:rsid w:val="76764AC8"/>
    <w:rsid w:val="767E1BCE"/>
    <w:rsid w:val="76DA63E7"/>
    <w:rsid w:val="76F679B7"/>
    <w:rsid w:val="76FA11CE"/>
    <w:rsid w:val="771F2B49"/>
    <w:rsid w:val="77470212"/>
    <w:rsid w:val="77693B91"/>
    <w:rsid w:val="77BD45B6"/>
    <w:rsid w:val="77E872FF"/>
    <w:rsid w:val="77F20992"/>
    <w:rsid w:val="78372827"/>
    <w:rsid w:val="78396876"/>
    <w:rsid w:val="78994A9D"/>
    <w:rsid w:val="78E71CAD"/>
    <w:rsid w:val="78F9131B"/>
    <w:rsid w:val="79077C59"/>
    <w:rsid w:val="790A14F7"/>
    <w:rsid w:val="790C526F"/>
    <w:rsid w:val="791B233D"/>
    <w:rsid w:val="79760D80"/>
    <w:rsid w:val="79766B8D"/>
    <w:rsid w:val="798132EA"/>
    <w:rsid w:val="79CA2166"/>
    <w:rsid w:val="7A083C89"/>
    <w:rsid w:val="7B024B7C"/>
    <w:rsid w:val="7B04546D"/>
    <w:rsid w:val="7B1A5EF4"/>
    <w:rsid w:val="7B205002"/>
    <w:rsid w:val="7B7B1D2B"/>
    <w:rsid w:val="7B7F2EE0"/>
    <w:rsid w:val="7C2154D6"/>
    <w:rsid w:val="7C376AA7"/>
    <w:rsid w:val="7C6542EA"/>
    <w:rsid w:val="7C95557C"/>
    <w:rsid w:val="7C9E08D4"/>
    <w:rsid w:val="7CCA16C9"/>
    <w:rsid w:val="7D23690F"/>
    <w:rsid w:val="7D6F31EF"/>
    <w:rsid w:val="7DA65D21"/>
    <w:rsid w:val="7DF06F0E"/>
    <w:rsid w:val="7E24305B"/>
    <w:rsid w:val="7E8C34AC"/>
    <w:rsid w:val="7E8D0C00"/>
    <w:rsid w:val="7EF90044"/>
    <w:rsid w:val="7F037115"/>
    <w:rsid w:val="7F2B323F"/>
    <w:rsid w:val="7F5636E8"/>
    <w:rsid w:val="7F7122D0"/>
    <w:rsid w:val="7F8F6BFA"/>
    <w:rsid w:val="7F9833C5"/>
    <w:rsid w:val="7FBB179D"/>
    <w:rsid w:val="7FDE7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imes New Roman"/>
      <w:sz w:val="28"/>
      <w:szCs w:val="22"/>
      <w:lang w:val="en-US" w:eastAsia="zh-CN" w:bidi="ar-SA"/>
    </w:rPr>
  </w:style>
  <w:style w:type="paragraph" w:styleId="2">
    <w:name w:val="heading 1"/>
    <w:basedOn w:val="1"/>
    <w:next w:val="1"/>
    <w:qFormat/>
    <w:uiPriority w:val="0"/>
    <w:pPr>
      <w:spacing w:before="50" w:beforeLines="50" w:after="50" w:afterLines="50"/>
      <w:ind w:firstLine="0" w:firstLineChars="0"/>
      <w:jc w:val="left"/>
      <w:outlineLvl w:val="0"/>
    </w:pPr>
    <w:rPr>
      <w:rFonts w:eastAsia="黑体" w:cs="黑体"/>
      <w:b/>
      <w:sz w:val="36"/>
      <w:szCs w:val="36"/>
    </w:rPr>
  </w:style>
  <w:style w:type="paragraph" w:styleId="3">
    <w:name w:val="heading 2"/>
    <w:basedOn w:val="1"/>
    <w:next w:val="1"/>
    <w:unhideWhenUsed/>
    <w:qFormat/>
    <w:uiPriority w:val="0"/>
    <w:pPr>
      <w:ind w:firstLine="0" w:firstLineChars="0"/>
      <w:outlineLvl w:val="1"/>
    </w:pPr>
    <w:rPr>
      <w:b/>
      <w:bCs/>
      <w:sz w:val="32"/>
      <w:szCs w:val="32"/>
    </w:rPr>
  </w:style>
  <w:style w:type="paragraph" w:styleId="4">
    <w:name w:val="heading 3"/>
    <w:basedOn w:val="1"/>
    <w:next w:val="1"/>
    <w:unhideWhenUsed/>
    <w:qFormat/>
    <w:uiPriority w:val="0"/>
    <w:pPr>
      <w:outlineLvl w:val="2"/>
    </w:pPr>
    <w:rPr>
      <w:b/>
      <w:bCs/>
      <w:sz w:val="30"/>
      <w:szCs w:val="28"/>
    </w:rPr>
  </w:style>
  <w:style w:type="paragraph" w:styleId="5">
    <w:name w:val="heading 4"/>
    <w:basedOn w:val="1"/>
    <w:next w:val="1"/>
    <w:link w:val="18"/>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0"/>
    <w:pPr>
      <w:spacing w:before="50" w:beforeLines="50" w:after="50" w:afterLines="50" w:line="240" w:lineRule="auto"/>
      <w:jc w:val="center"/>
    </w:pPr>
    <w:rPr>
      <w:rFonts w:eastAsia="黑体"/>
      <w:sz w:val="24"/>
      <w:szCs w:val="32"/>
    </w:rPr>
  </w:style>
  <w:style w:type="paragraph" w:styleId="7">
    <w:name w:val="toc 3"/>
    <w:basedOn w:val="1"/>
    <w:next w:val="1"/>
    <w:qFormat/>
    <w:uiPriority w:val="0"/>
    <w:pPr>
      <w:tabs>
        <w:tab w:val="right" w:leader="dot" w:pos="8845"/>
      </w:tabs>
      <w:ind w:left="840" w:leftChars="400"/>
    </w:pPr>
    <w:rPr>
      <w:rFonts w:eastAsia="仿宋_GB2312"/>
      <w:szCs w:val="32"/>
    </w:rPr>
  </w:style>
  <w:style w:type="paragraph" w:styleId="8">
    <w:name w:val="Balloon Text"/>
    <w:basedOn w:val="1"/>
    <w:link w:val="19"/>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jc w:val="center"/>
    </w:pPr>
    <w:rPr>
      <w:sz w:val="24"/>
      <w:szCs w:val="36"/>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pPr>
      <w:tabs>
        <w:tab w:val="right" w:leader="dot" w:pos="8845"/>
      </w:tabs>
    </w:pPr>
    <w:rPr>
      <w:rFonts w:eastAsia="仿宋_GB2312"/>
      <w:szCs w:val="28"/>
    </w:rPr>
  </w:style>
  <w:style w:type="paragraph" w:styleId="12">
    <w:name w:val="toc 2"/>
    <w:basedOn w:val="1"/>
    <w:next w:val="1"/>
    <w:qFormat/>
    <w:uiPriority w:val="0"/>
    <w:pPr>
      <w:tabs>
        <w:tab w:val="right" w:leader="dot" w:pos="8845"/>
      </w:tabs>
      <w:ind w:left="420" w:leftChars="200"/>
    </w:pPr>
    <w:rPr>
      <w:rFonts w:eastAsia="仿宋_GB2312"/>
      <w:szCs w:val="28"/>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eastAsia="Times New Roman"/>
      <w:sz w:val="24"/>
      <w:szCs w:val="24"/>
      <w:lang w:eastAsia="en-US"/>
    </w:rPr>
  </w:style>
  <w:style w:type="paragraph" w:customStyle="1" w:styleId="17">
    <w:name w:val="表格文字"/>
    <w:basedOn w:val="1"/>
    <w:qFormat/>
    <w:uiPriority w:val="0"/>
    <w:pPr>
      <w:spacing w:line="240" w:lineRule="auto"/>
      <w:ind w:firstLine="0" w:firstLineChars="0"/>
      <w:jc w:val="center"/>
    </w:pPr>
    <w:rPr>
      <w:rFonts w:eastAsia="宋体" w:cs="仿宋"/>
      <w:b/>
      <w:bCs/>
      <w:sz w:val="24"/>
      <w:szCs w:val="24"/>
    </w:rPr>
  </w:style>
  <w:style w:type="character" w:customStyle="1" w:styleId="18">
    <w:name w:val="标题 4 Char"/>
    <w:basedOn w:val="14"/>
    <w:link w:val="5"/>
    <w:qFormat/>
    <w:uiPriority w:val="0"/>
    <w:rPr>
      <w:rFonts w:asciiTheme="majorHAnsi" w:hAnsiTheme="majorHAnsi" w:eastAsiaTheme="majorEastAsia" w:cstheme="majorBidi"/>
      <w:b/>
      <w:bCs/>
      <w:sz w:val="28"/>
      <w:szCs w:val="28"/>
    </w:rPr>
  </w:style>
  <w:style w:type="character" w:customStyle="1" w:styleId="19">
    <w:name w:val="批注框文本 Char"/>
    <w:basedOn w:val="14"/>
    <w:link w:val="8"/>
    <w:qFormat/>
    <w:uiPriority w:val="0"/>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7624</Words>
  <Characters>8457</Characters>
  <Lines>92</Lines>
  <Paragraphs>26</Paragraphs>
  <TotalTime>4</TotalTime>
  <ScaleCrop>false</ScaleCrop>
  <LinksUpToDate>false</LinksUpToDate>
  <CharactersWithSpaces>8603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2026-03-24T01:43:00Z</dcterms:created>
  <dc:creator>Apache POI</dc:creator>
  <cp:lastModifiedBy>R。</cp:lastModifiedBy>
  <cp:lastPrinted>2026-03-24T02:13:00Z</cp:lastPrinted>
  <dcterms:modified xsi:type="dcterms:W3CDTF">2026-04-20T09:49:36Z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{"ContentPropagator":"001191440101MA9Y9T4H7A00000","Label":"1","ReservedCode1":"aPp5YaEW94A0xQye3ghVDGhDtoVMsLjfs0EJisGjRDM=","ProduceID":"workspace_api:6acf9b366a14461db94d22ccaa0f3402","ReservedCode2":"aPp5YaEW94A0xQye3ghVDGhDtoVMsLjfs0EJisGjRDM=","Prop</vt:lpwstr>
  </property>
  <property fmtid="{D5CDD505-2E9C-101B-9397-08002B2CF9AE}" pid="3" name="KSOTemplateDocerSaveRecord">
    <vt:lpwstr>eyJoZGlkIjoiZDg3ZDVmNTQwMzg5M2M3ZDZlZTRhZjZkOTc3ODVlODAiLCJ1c2VySWQiOiI0NDAxMTQxMDQifQ==</vt:lpwstr>
  </property>
  <property fmtid="{D5CDD505-2E9C-101B-9397-08002B2CF9AE}" pid="4" name="KSOProductBuildVer">
    <vt:lpwstr>2052-12.1.0.25225</vt:lpwstr>
  </property>
  <property fmtid="{D5CDD505-2E9C-101B-9397-08002B2CF9AE}" pid="5" name="ICV">
    <vt:lpwstr>FC30FE5E254C4AF3AE71F7FAAE14FCB7_13</vt:lpwstr>
  </property>
</Properties>
</file>